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6555C">
      <w:pPr>
        <w:rPr>
          <w:rFonts w:ascii="微软雅黑" w:hAnsi="微软雅黑"/>
          <w:b/>
          <w:color w:val="404040" w:themeColor="text1" w:themeTint="BF"/>
          <w14:textFill>
            <w14:solidFill>
              <w14:schemeClr w14:val="tx1">
                <w14:lumMod w14:val="75000"/>
                <w14:lumOff w14:val="25000"/>
              </w14:schemeClr>
            </w14:solidFill>
          </w14:textFill>
        </w:rPr>
      </w:pPr>
      <w:bookmarkStart w:id="0" w:name="_GoBack"/>
      <w:bookmarkEnd w:id="0"/>
      <w:r>
        <w:rPr>
          <w:rFonts w:hint="eastAsia" w:ascii="微软雅黑" w:hAnsi="微软雅黑"/>
          <w:b/>
          <w:color w:val="558ED5" w:themeColor="text2" w:themeTint="99"/>
          <w:sz w:val="40"/>
          <w14:textFill>
            <w14:solidFill>
              <w14:schemeClr w14:val="tx2">
                <w14:lumMod w14:val="60000"/>
                <w14:lumOff w14:val="40000"/>
              </w14:schemeClr>
            </w14:solidFill>
          </w14:textFill>
        </w:rPr>
        <w:drawing>
          <wp:anchor distT="0" distB="0" distL="114300" distR="114300" simplePos="0" relativeHeight="251659264" behindDoc="1" locked="0" layoutInCell="1" allowOverlap="1">
            <wp:simplePos x="0" y="0"/>
            <wp:positionH relativeFrom="column">
              <wp:posOffset>-709295</wp:posOffset>
            </wp:positionH>
            <wp:positionV relativeFrom="paragraph">
              <wp:posOffset>-903605</wp:posOffset>
            </wp:positionV>
            <wp:extent cx="7584440" cy="1578610"/>
            <wp:effectExtent l="0" t="0" r="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t="29060"/>
                    <a:stretch>
                      <a:fillRect/>
                    </a:stretch>
                  </pic:blipFill>
                  <pic:spPr>
                    <a:xfrm>
                      <a:off x="0" y="0"/>
                      <a:ext cx="7584438" cy="1578634"/>
                    </a:xfrm>
                    <a:prstGeom prst="rect">
                      <a:avLst/>
                    </a:prstGeom>
                    <a:noFill/>
                    <a:ln w="9525">
                      <a:noFill/>
                      <a:miter lim="800000"/>
                      <a:headEnd/>
                      <a:tailEnd/>
                    </a:ln>
                  </pic:spPr>
                </pic:pic>
              </a:graphicData>
            </a:graphic>
          </wp:anchor>
        </w:drawing>
      </w:r>
      <w:r>
        <w:rPr>
          <w:rFonts w:hint="eastAsia" w:ascii="微软雅黑" w:hAnsi="微软雅黑"/>
          <w:b/>
          <w:color w:val="558ED5" w:themeColor="text2" w:themeTint="99"/>
          <w:sz w:val="40"/>
          <w14:textFill>
            <w14:solidFill>
              <w14:schemeClr w14:val="tx2">
                <w14:lumMod w14:val="60000"/>
                <w14:lumOff w14:val="40000"/>
              </w14:schemeClr>
            </w14:solidFill>
          </w14:textFill>
        </w:rPr>
        <w:t>深信服</w:t>
      </w:r>
      <w:r>
        <w:rPr>
          <w:rFonts w:ascii="微软雅黑" w:hAnsi="微软雅黑"/>
          <w:b/>
          <w:color w:val="558ED5" w:themeColor="text2" w:themeTint="99"/>
          <w:sz w:val="40"/>
          <w14:textFill>
            <w14:solidFill>
              <w14:schemeClr w14:val="tx2">
                <w14:lumMod w14:val="60000"/>
                <w14:lumOff w14:val="40000"/>
              </w14:schemeClr>
            </w14:solidFill>
          </w14:textFill>
        </w:rPr>
        <w:t>信创应用交付AD</w:t>
      </w:r>
    </w:p>
    <w:p w14:paraId="7200EFE4">
      <w:pPr>
        <w:pStyle w:val="14"/>
        <w:rPr>
          <w:rFonts w:eastAsia="华文细黑" w:cs="Arial"/>
          <w:color w:val="404040" w:themeColor="text1" w:themeTint="BF"/>
          <w:sz w:val="21"/>
          <w:szCs w:val="21"/>
          <w14:textFill>
            <w14:solidFill>
              <w14:schemeClr w14:val="tx1">
                <w14:lumMod w14:val="75000"/>
                <w14:lumOff w14:val="25000"/>
              </w14:schemeClr>
            </w14:solidFill>
          </w14:textFill>
        </w:rPr>
      </w:pPr>
      <w:r>
        <w:rPr>
          <w:rFonts w:hint="eastAsia" w:eastAsia="华文细黑" w:cs="Arial"/>
          <w:color w:val="404040" w:themeColor="text1" w:themeTint="BF"/>
          <w:sz w:val="21"/>
          <w:szCs w:val="21"/>
          <w14:textFill>
            <w14:solidFill>
              <w14:schemeClr w14:val="tx1">
                <w14:lumMod w14:val="75000"/>
                <w14:lumOff w14:val="25000"/>
              </w14:schemeClr>
            </w14:solidFill>
          </w14:textFill>
        </w:rPr>
        <w:t>深信服</w:t>
      </w:r>
      <w:r>
        <w:rPr>
          <w:rFonts w:eastAsia="华文细黑" w:cs="Arial"/>
          <w:color w:val="404040" w:themeColor="text1" w:themeTint="BF"/>
          <w:sz w:val="21"/>
          <w:szCs w:val="21"/>
          <w14:textFill>
            <w14:solidFill>
              <w14:schemeClr w14:val="tx1">
                <w14:lumMod w14:val="75000"/>
                <w14:lumOff w14:val="25000"/>
              </w14:schemeClr>
            </w14:solidFill>
          </w14:textFill>
        </w:rPr>
        <w:t>信创应用交付AD</w:t>
      </w:r>
      <w:r>
        <w:rPr>
          <w:rFonts w:hint="eastAsia" w:eastAsia="华文细黑" w:cs="Arial"/>
          <w:color w:val="404040" w:themeColor="text1" w:themeTint="BF"/>
          <w:sz w:val="21"/>
          <w:szCs w:val="21"/>
          <w14:textFill>
            <w14:solidFill>
              <w14:schemeClr w14:val="tx1">
                <w14:lumMod w14:val="75000"/>
                <w14:lumOff w14:val="25000"/>
              </w14:schemeClr>
            </w14:solidFill>
          </w14:textFill>
        </w:rPr>
        <w:t>，采用</w:t>
      </w:r>
      <w:r>
        <w:rPr>
          <w:rFonts w:hint="eastAsia" w:eastAsia="华文细黑" w:cs="Arial"/>
          <w:b/>
          <w:bCs/>
          <w:color w:val="404040" w:themeColor="text1" w:themeTint="BF"/>
          <w:sz w:val="21"/>
          <w:szCs w:val="21"/>
          <w:lang w:val="en-US" w:eastAsia="zh-CN"/>
          <w14:textFill>
            <w14:solidFill>
              <w14:schemeClr w14:val="tx1">
                <w14:lumMod w14:val="75000"/>
                <w14:lumOff w14:val="25000"/>
              </w14:schemeClr>
            </w14:solidFill>
          </w14:textFill>
        </w:rPr>
        <w:t>国产</w:t>
      </w:r>
      <w:r>
        <w:rPr>
          <w:rFonts w:hint="eastAsia" w:eastAsia="华文细黑" w:cs="Arial"/>
          <w:b/>
          <w:bCs/>
          <w:color w:val="404040" w:themeColor="text1" w:themeTint="BF"/>
          <w:sz w:val="21"/>
          <w:szCs w:val="21"/>
          <w14:textFill>
            <w14:solidFill>
              <w14:schemeClr w14:val="tx1">
                <w14:lumMod w14:val="75000"/>
                <w14:lumOff w14:val="25000"/>
              </w14:schemeClr>
            </w14:solidFill>
          </w14:textFill>
        </w:rPr>
        <w:t>处理</w:t>
      </w:r>
      <w:r>
        <w:rPr>
          <w:rFonts w:hint="eastAsia" w:eastAsia="华文细黑" w:cs="Arial"/>
          <w:b/>
          <w:color w:val="404040" w:themeColor="text1" w:themeTint="BF"/>
          <w:sz w:val="21"/>
          <w:szCs w:val="21"/>
          <w14:textFill>
            <w14:solidFill>
              <w14:schemeClr w14:val="tx1">
                <w14:lumMod w14:val="75000"/>
                <w14:lumOff w14:val="25000"/>
              </w14:schemeClr>
            </w14:solidFill>
          </w14:textFill>
        </w:rPr>
        <w:t>器</w:t>
      </w:r>
      <w:r>
        <w:rPr>
          <w:rFonts w:eastAsia="华文细黑" w:cs="Arial"/>
          <w:color w:val="404040" w:themeColor="text1" w:themeTint="BF"/>
          <w:sz w:val="21"/>
          <w:szCs w:val="21"/>
          <w14:textFill>
            <w14:solidFill>
              <w14:schemeClr w14:val="tx1">
                <w14:lumMod w14:val="75000"/>
                <w14:lumOff w14:val="25000"/>
              </w14:schemeClr>
            </w14:solidFill>
          </w14:textFill>
        </w:rPr>
        <w:t>和</w:t>
      </w:r>
      <w:r>
        <w:rPr>
          <w:rFonts w:hint="eastAsia" w:eastAsia="华文细黑" w:cs="Arial"/>
          <w:b/>
          <w:bCs/>
          <w:color w:val="404040" w:themeColor="text1" w:themeTint="BF"/>
          <w:sz w:val="21"/>
          <w:szCs w:val="21"/>
          <w14:textFill>
            <w14:solidFill>
              <w14:schemeClr w14:val="tx1">
                <w14:lumMod w14:val="75000"/>
                <w14:lumOff w14:val="25000"/>
              </w14:schemeClr>
            </w14:solidFill>
          </w14:textFill>
        </w:rPr>
        <w:t>麒麟操作</w:t>
      </w:r>
      <w:r>
        <w:rPr>
          <w:rFonts w:hint="eastAsia" w:eastAsia="华文细黑" w:cs="Arial"/>
          <w:b/>
          <w:color w:val="404040" w:themeColor="text1" w:themeTint="BF"/>
          <w:sz w:val="21"/>
          <w:szCs w:val="21"/>
          <w14:textFill>
            <w14:solidFill>
              <w14:schemeClr w14:val="tx1">
                <w14:lumMod w14:val="75000"/>
                <w14:lumOff w14:val="25000"/>
              </w14:schemeClr>
            </w14:solidFill>
          </w14:textFill>
        </w:rPr>
        <w:t>系统，</w:t>
      </w:r>
      <w:r>
        <w:rPr>
          <w:rFonts w:hint="eastAsia" w:eastAsia="华文细黑" w:cs="Arial"/>
          <w:color w:val="404040" w:themeColor="text1" w:themeTint="BF"/>
          <w:sz w:val="21"/>
          <w:szCs w:val="21"/>
          <w14:textFill>
            <w14:solidFill>
              <w14:schemeClr w14:val="tx1">
                <w14:lumMod w14:val="75000"/>
                <w14:lumOff w14:val="25000"/>
              </w14:schemeClr>
            </w14:solidFill>
          </w14:textFill>
        </w:rPr>
        <w:t>深信服</w:t>
      </w:r>
      <w:r>
        <w:rPr>
          <w:rFonts w:eastAsia="华文细黑" w:cs="Arial"/>
          <w:color w:val="404040" w:themeColor="text1" w:themeTint="BF"/>
          <w:sz w:val="21"/>
          <w:szCs w:val="21"/>
          <w14:textFill>
            <w14:solidFill>
              <w14:schemeClr w14:val="tx1">
                <w14:lumMod w14:val="75000"/>
                <w14:lumOff w14:val="25000"/>
              </w14:schemeClr>
            </w14:solidFill>
          </w14:textFill>
        </w:rPr>
        <w:t>信创应用交付</w:t>
      </w:r>
      <w:r>
        <w:rPr>
          <w:rFonts w:hint="eastAsia" w:eastAsia="华文细黑" w:cs="Arial"/>
          <w:color w:val="404040" w:themeColor="text1" w:themeTint="BF"/>
          <w:sz w:val="21"/>
          <w:szCs w:val="21"/>
          <w14:textFill>
            <w14:solidFill>
              <w14:schemeClr w14:val="tx1">
                <w14:lumMod w14:val="75000"/>
                <w14:lumOff w14:val="25000"/>
              </w14:schemeClr>
            </w14:solidFill>
          </w14:textFill>
        </w:rPr>
        <w:t>（简称</w:t>
      </w:r>
      <w:r>
        <w:rPr>
          <w:rFonts w:eastAsia="华文细黑" w:cs="Arial"/>
          <w:color w:val="404040" w:themeColor="text1" w:themeTint="BF"/>
          <w:sz w:val="21"/>
          <w:szCs w:val="21"/>
          <w14:textFill>
            <w14:solidFill>
              <w14:schemeClr w14:val="tx1">
                <w14:lumMod w14:val="75000"/>
                <w14:lumOff w14:val="25000"/>
              </w14:schemeClr>
            </w14:solidFill>
          </w14:textFill>
        </w:rPr>
        <w:t>AD</w:t>
      </w:r>
      <w:r>
        <w:rPr>
          <w:rFonts w:hint="eastAsia" w:eastAsia="华文细黑" w:cs="Arial"/>
          <w:color w:val="404040" w:themeColor="text1" w:themeTint="BF"/>
          <w:sz w:val="21"/>
          <w:szCs w:val="21"/>
          <w14:textFill>
            <w14:solidFill>
              <w14:schemeClr w14:val="tx1">
                <w14:lumMod w14:val="75000"/>
                <w14:lumOff w14:val="25000"/>
              </w14:schemeClr>
            </w14:solidFill>
          </w14:textFill>
        </w:rPr>
        <w:t>）作为专业的应用交付设备，能够为用户的应用发布提供包括多数据中心负载均衡、多链路负载均衡、服务器负载均衡的全方位解决方案。配合性能优化、单边加速以及多重智能管理等技术，实现对各个数据中心、链路以及服务器状态的实时监控，同时根据预设规则将用户的访问请求分配给相应的数据中心、链路以及服务器，进而实现数据流的合理分配，使所有的数据中心、链路和服务器都得到充分的利用。不仅扩展应用系统的整体处理能力，提高其稳定性，更可切实改善用户的访问体验，降低组织的IT投资成本。</w:t>
      </w:r>
    </w:p>
    <w:p w14:paraId="3E451212">
      <w:pPr>
        <w:pStyle w:val="14"/>
        <w:ind w:firstLineChars="0"/>
        <w:rPr>
          <w:rFonts w:eastAsia="华文细黑" w:cs="Arial"/>
          <w:color w:val="404040" w:themeColor="text1" w:themeTint="BF"/>
          <w:sz w:val="21"/>
          <w:szCs w:val="21"/>
          <w14:textFill>
            <w14:solidFill>
              <w14:schemeClr w14:val="tx1">
                <w14:lumMod w14:val="75000"/>
                <w14:lumOff w14:val="25000"/>
              </w14:schemeClr>
            </w14:solidFill>
          </w14:textFill>
        </w:rPr>
      </w:pPr>
      <w:r>
        <w:rPr>
          <w:rFonts w:hint="eastAsia" w:eastAsia="华文细黑" w:cs="Arial"/>
          <w:color w:val="404040" w:themeColor="text1" w:themeTint="BF"/>
          <w:sz w:val="21"/>
          <w:szCs w:val="21"/>
          <w14:textFill>
            <w14:solidFill>
              <w14:schemeClr w14:val="tx1">
                <w14:lumMod w14:val="75000"/>
                <w14:lumOff w14:val="25000"/>
              </w14:schemeClr>
            </w14:solidFill>
          </w14:textFill>
        </w:rPr>
        <w:t>深信服</w:t>
      </w:r>
      <w:r>
        <w:rPr>
          <w:rFonts w:eastAsia="华文细黑" w:cs="Arial"/>
          <w:color w:val="404040" w:themeColor="text1" w:themeTint="BF"/>
          <w:sz w:val="21"/>
          <w:szCs w:val="21"/>
          <w14:textFill>
            <w14:solidFill>
              <w14:schemeClr w14:val="tx1">
                <w14:lumMod w14:val="75000"/>
                <w14:lumOff w14:val="25000"/>
              </w14:schemeClr>
            </w14:solidFill>
          </w14:textFill>
        </w:rPr>
        <w:t>信创应用交付AD</w:t>
      </w:r>
      <w:r>
        <w:rPr>
          <w:rFonts w:hint="eastAsia" w:eastAsia="华文细黑" w:cs="Arial"/>
          <w:color w:val="404040" w:themeColor="text1" w:themeTint="BF"/>
          <w:sz w:val="21"/>
          <w:szCs w:val="21"/>
          <w14:textFill>
            <w14:solidFill>
              <w14:schemeClr w14:val="tx1">
                <w14:lumMod w14:val="75000"/>
                <w14:lumOff w14:val="25000"/>
              </w14:schemeClr>
            </w14:solidFill>
          </w14:textFill>
        </w:rPr>
        <w:t>，实现自主可控的同时综合技术性能优于目前国际上通用的主流高档数字型处理器，有利于完善信息化产品在应用高端芯片时产生的安全和保密问题。</w:t>
      </w:r>
    </w:p>
    <w:p w14:paraId="19810FC8">
      <w:pPr>
        <w:ind w:firstLine="420"/>
        <w:rPr>
          <w:rFonts w:ascii="Arial" w:hAnsi="Arial" w:eastAsia="华文细黑" w:cs="Arial"/>
          <w:color w:val="404040" w:themeColor="text1" w:themeTint="BF"/>
          <w:szCs w:val="21"/>
          <w14:textFill>
            <w14:solidFill>
              <w14:schemeClr w14:val="tx1">
                <w14:lumMod w14:val="75000"/>
                <w14:lumOff w14:val="25000"/>
              </w14:schemeClr>
            </w14:solidFill>
          </w14:textFill>
        </w:rPr>
      </w:pPr>
      <w:r>
        <w:rPr>
          <w:rFonts w:hint="eastAsia" w:ascii="Arial" w:hAnsi="Arial" w:eastAsia="华文细黑" w:cs="Arial"/>
          <w:color w:val="404040" w:themeColor="text1" w:themeTint="BF"/>
          <w:szCs w:val="21"/>
          <w14:textFill>
            <w14:solidFill>
              <w14:schemeClr w14:val="tx1">
                <w14:lumMod w14:val="75000"/>
                <w14:lumOff w14:val="25000"/>
              </w14:schemeClr>
            </w14:solidFill>
          </w14:textFill>
        </w:rPr>
        <w:t>基于新一代麒麟操作系统开发定制，最大程度发挥操作系统和硬件平台的整体性能。对国产处理器和国产整机进行了全面地支持，在各模块良好兼容的基础上对安全进行增强，确保安全、可控、稳定地对外提供服务。满足高可用性、高可靠性以及可扩展性的应用需求。</w:t>
      </w:r>
    </w:p>
    <w:p w14:paraId="491E1483">
      <w:pPr>
        <w:spacing w:line="600" w:lineRule="auto"/>
        <w:rPr>
          <w:rFonts w:hint="eastAsia" w:ascii="微软雅黑" w:hAnsi="微软雅黑" w:cs="Arial"/>
          <w:b/>
          <w:color w:val="558ED5" w:themeColor="text2" w:themeTint="99"/>
          <w:sz w:val="28"/>
          <w:szCs w:val="21"/>
          <w14:textFill>
            <w14:solidFill>
              <w14:schemeClr w14:val="tx2">
                <w14:lumMod w14:val="60000"/>
                <w14:lumOff w14:val="40000"/>
              </w14:schemeClr>
            </w14:solidFill>
          </w14:textFill>
        </w:rPr>
      </w:pPr>
      <w:r>
        <w:rPr>
          <w:rFonts w:hint="eastAsia" w:ascii="微软雅黑" w:hAnsi="微软雅黑" w:cs="Arial"/>
          <w:b/>
          <w:color w:val="558ED5" w:themeColor="text2" w:themeTint="99"/>
          <w:sz w:val="28"/>
          <w:szCs w:val="21"/>
          <w14:textFill>
            <w14:solidFill>
              <w14:schemeClr w14:val="tx2">
                <w14:lumMod w14:val="60000"/>
                <w14:lumOff w14:val="40000"/>
              </w14:schemeClr>
            </w14:solidFill>
          </w14:textFill>
        </w:rPr>
        <w:t>产品系列型号</w:t>
      </w:r>
    </w:p>
    <w:tbl>
      <w:tblPr>
        <w:tblStyle w:val="8"/>
        <w:tblW w:w="663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96"/>
        <w:gridCol w:w="3439"/>
      </w:tblGrid>
      <w:tr w14:paraId="451337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jc w:val="center"/>
        </w:trPr>
        <w:tc>
          <w:tcPr>
            <w:tcW w:w="3196" w:type="dxa"/>
            <w:shd w:val="clear" w:color="auto" w:fill="548DD4" w:themeFill="text2" w:themeFillTint="99"/>
            <w:vAlign w:val="center"/>
          </w:tcPr>
          <w:p w14:paraId="02F0EFD0">
            <w:pPr>
              <w:jc w:val="center"/>
              <w:rPr>
                <w:rFonts w:ascii="微软雅黑" w:hAnsi="微软雅黑"/>
                <w:b/>
                <w:sz w:val="28"/>
                <w:szCs w:val="28"/>
              </w:rPr>
            </w:pPr>
            <w:r>
              <w:rPr>
                <w:rFonts w:hint="eastAsia" w:ascii="微软雅黑" w:hAnsi="微软雅黑"/>
                <w:b/>
                <w:sz w:val="28"/>
                <w:szCs w:val="28"/>
              </w:rPr>
              <w:t>产品型号</w:t>
            </w:r>
          </w:p>
        </w:tc>
        <w:tc>
          <w:tcPr>
            <w:tcW w:w="3439" w:type="dxa"/>
            <w:shd w:val="clear" w:color="auto" w:fill="548DD4" w:themeFill="text2" w:themeFillTint="99"/>
            <w:vAlign w:val="center"/>
          </w:tcPr>
          <w:p w14:paraId="17A01BCD">
            <w:pPr>
              <w:jc w:val="center"/>
              <w:rPr>
                <w:rFonts w:ascii="微软雅黑" w:hAnsi="微软雅黑"/>
                <w:b/>
                <w:sz w:val="28"/>
                <w:szCs w:val="28"/>
              </w:rPr>
            </w:pPr>
            <w:r>
              <w:rPr>
                <w:rFonts w:hint="eastAsia" w:ascii="微软雅黑" w:hAnsi="微软雅黑"/>
                <w:b/>
                <w:sz w:val="24"/>
                <w:szCs w:val="24"/>
              </w:rPr>
              <w:t>AD-1000-GA220-S</w:t>
            </w:r>
          </w:p>
        </w:tc>
      </w:tr>
      <w:tr w14:paraId="0A2A8F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jc w:val="center"/>
        </w:trPr>
        <w:tc>
          <w:tcPr>
            <w:tcW w:w="3196" w:type="dxa"/>
            <w:vAlign w:val="center"/>
          </w:tcPr>
          <w:p w14:paraId="4F53D85C">
            <w:pPr>
              <w:jc w:val="center"/>
              <w:rPr>
                <w:rFonts w:ascii="微软雅黑" w:hAnsi="微软雅黑"/>
                <w:sz w:val="20"/>
                <w:szCs w:val="20"/>
              </w:rPr>
            </w:pPr>
            <w:r>
              <w:rPr>
                <w:rFonts w:hint="eastAsia" w:ascii="微软雅黑" w:hAnsi="微软雅黑"/>
                <w:sz w:val="20"/>
                <w:szCs w:val="20"/>
                <w:lang w:val="en-US" w:eastAsia="zh-CN"/>
              </w:rPr>
              <w:t>4层</w:t>
            </w:r>
            <w:r>
              <w:rPr>
                <w:rFonts w:hint="eastAsia" w:ascii="微软雅黑" w:hAnsi="微软雅黑"/>
                <w:sz w:val="20"/>
                <w:szCs w:val="20"/>
              </w:rPr>
              <w:t>吞吐</w:t>
            </w:r>
            <w:r>
              <w:rPr>
                <w:rFonts w:ascii="微软雅黑" w:hAnsi="微软雅黑"/>
                <w:sz w:val="20"/>
                <w:szCs w:val="20"/>
              </w:rPr>
              <w:t>量</w:t>
            </w:r>
          </w:p>
        </w:tc>
        <w:tc>
          <w:tcPr>
            <w:tcW w:w="3439" w:type="dxa"/>
            <w:vAlign w:val="center"/>
          </w:tcPr>
          <w:p w14:paraId="54904C57">
            <w:pPr>
              <w:jc w:val="center"/>
              <w:rPr>
                <w:rFonts w:ascii="微软雅黑" w:hAnsi="微软雅黑"/>
                <w:sz w:val="20"/>
                <w:szCs w:val="20"/>
              </w:rPr>
            </w:pPr>
            <w:r>
              <w:rPr>
                <w:rFonts w:hint="eastAsia" w:ascii="微软雅黑" w:hAnsi="微软雅黑"/>
                <w:sz w:val="20"/>
                <w:szCs w:val="20"/>
                <w:lang w:val="en-US" w:eastAsia="zh-CN"/>
              </w:rPr>
              <w:t>35</w:t>
            </w:r>
            <w:r>
              <w:rPr>
                <w:rFonts w:ascii="微软雅黑" w:hAnsi="微软雅黑"/>
                <w:sz w:val="20"/>
                <w:szCs w:val="20"/>
              </w:rPr>
              <w:t>Gbps</w:t>
            </w:r>
          </w:p>
        </w:tc>
      </w:tr>
      <w:tr w14:paraId="25228D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jc w:val="center"/>
        </w:trPr>
        <w:tc>
          <w:tcPr>
            <w:tcW w:w="3196" w:type="dxa"/>
            <w:vAlign w:val="center"/>
          </w:tcPr>
          <w:p w14:paraId="482712E8">
            <w:pPr>
              <w:jc w:val="center"/>
              <w:rPr>
                <w:rFonts w:ascii="微软雅黑" w:hAnsi="微软雅黑"/>
                <w:sz w:val="20"/>
                <w:szCs w:val="20"/>
              </w:rPr>
            </w:pPr>
            <w:r>
              <w:rPr>
                <w:rFonts w:hint="eastAsia" w:ascii="微软雅黑" w:hAnsi="微软雅黑"/>
                <w:sz w:val="20"/>
                <w:szCs w:val="20"/>
              </w:rPr>
              <w:t>单向新建（ECC-SM2-SM4-SM3）</w:t>
            </w:r>
          </w:p>
        </w:tc>
        <w:tc>
          <w:tcPr>
            <w:tcW w:w="3439" w:type="dxa"/>
            <w:vAlign w:val="center"/>
          </w:tcPr>
          <w:p w14:paraId="4C547F14">
            <w:pPr>
              <w:jc w:val="center"/>
              <w:rPr>
                <w:rFonts w:ascii="微软雅黑" w:hAnsi="微软雅黑"/>
                <w:sz w:val="20"/>
                <w:szCs w:val="20"/>
              </w:rPr>
            </w:pPr>
            <w:r>
              <w:rPr>
                <w:rFonts w:hint="eastAsia" w:ascii="微软雅黑" w:hAnsi="微软雅黑"/>
                <w:sz w:val="20"/>
                <w:szCs w:val="20"/>
              </w:rPr>
              <w:t>20000</w:t>
            </w:r>
          </w:p>
        </w:tc>
      </w:tr>
      <w:tr w14:paraId="645CD4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8" w:hRule="atLeast"/>
          <w:jc w:val="center"/>
        </w:trPr>
        <w:tc>
          <w:tcPr>
            <w:tcW w:w="3196" w:type="dxa"/>
            <w:vAlign w:val="center"/>
          </w:tcPr>
          <w:p w14:paraId="373E0819">
            <w:pPr>
              <w:jc w:val="center"/>
              <w:rPr>
                <w:rFonts w:ascii="微软雅黑" w:hAnsi="微软雅黑"/>
                <w:sz w:val="20"/>
                <w:szCs w:val="20"/>
              </w:rPr>
            </w:pPr>
            <w:r>
              <w:rPr>
                <w:rFonts w:hint="eastAsia" w:ascii="微软雅黑" w:hAnsi="微软雅黑"/>
                <w:sz w:val="20"/>
                <w:szCs w:val="20"/>
              </w:rPr>
              <w:t>单向并发（ECC-SM2-SM4-SM3）</w:t>
            </w:r>
          </w:p>
        </w:tc>
        <w:tc>
          <w:tcPr>
            <w:tcW w:w="3439" w:type="dxa"/>
            <w:vAlign w:val="center"/>
          </w:tcPr>
          <w:p w14:paraId="71ABF146">
            <w:pPr>
              <w:jc w:val="center"/>
              <w:rPr>
                <w:rFonts w:ascii="微软雅黑" w:hAnsi="微软雅黑"/>
                <w:sz w:val="20"/>
                <w:szCs w:val="20"/>
              </w:rPr>
            </w:pPr>
            <w:r>
              <w:rPr>
                <w:rFonts w:hint="eastAsia" w:ascii="微软雅黑" w:hAnsi="微软雅黑"/>
                <w:sz w:val="20"/>
                <w:szCs w:val="20"/>
              </w:rPr>
              <w:t>60W</w:t>
            </w:r>
          </w:p>
        </w:tc>
      </w:tr>
      <w:tr w14:paraId="44DBF0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 w:hRule="atLeast"/>
          <w:jc w:val="center"/>
        </w:trPr>
        <w:tc>
          <w:tcPr>
            <w:tcW w:w="3196" w:type="dxa"/>
            <w:vAlign w:val="center"/>
          </w:tcPr>
          <w:p w14:paraId="13444065">
            <w:pPr>
              <w:jc w:val="center"/>
              <w:rPr>
                <w:rFonts w:ascii="微软雅黑" w:hAnsi="微软雅黑"/>
                <w:sz w:val="20"/>
                <w:szCs w:val="20"/>
              </w:rPr>
            </w:pPr>
            <w:r>
              <w:rPr>
                <w:rFonts w:hint="eastAsia" w:ascii="微软雅黑" w:hAnsi="微软雅黑"/>
                <w:sz w:val="20"/>
                <w:szCs w:val="20"/>
              </w:rPr>
              <w:t>单向吞吐（ECC-SM2-SM4-SM3）</w:t>
            </w:r>
          </w:p>
        </w:tc>
        <w:tc>
          <w:tcPr>
            <w:tcW w:w="3439" w:type="dxa"/>
            <w:vAlign w:val="center"/>
          </w:tcPr>
          <w:p w14:paraId="6658B6D8">
            <w:pPr>
              <w:jc w:val="center"/>
              <w:rPr>
                <w:rFonts w:ascii="微软雅黑" w:hAnsi="微软雅黑"/>
                <w:sz w:val="20"/>
                <w:szCs w:val="20"/>
              </w:rPr>
            </w:pPr>
            <w:r>
              <w:rPr>
                <w:rFonts w:hint="eastAsia" w:ascii="微软雅黑" w:hAnsi="微软雅黑"/>
                <w:sz w:val="20"/>
                <w:szCs w:val="20"/>
              </w:rPr>
              <w:t>3G</w:t>
            </w:r>
          </w:p>
        </w:tc>
      </w:tr>
      <w:tr w14:paraId="67FCD9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 w:hRule="atLeast"/>
          <w:jc w:val="center"/>
        </w:trPr>
        <w:tc>
          <w:tcPr>
            <w:tcW w:w="3196" w:type="dxa"/>
            <w:vAlign w:val="center"/>
          </w:tcPr>
          <w:p w14:paraId="49B815E4">
            <w:pPr>
              <w:jc w:val="center"/>
              <w:rPr>
                <w:rFonts w:hint="eastAsia" w:ascii="微软雅黑" w:hAnsi="微软雅黑" w:eastAsia="微软雅黑"/>
                <w:sz w:val="20"/>
                <w:szCs w:val="20"/>
                <w:lang w:val="en-US" w:eastAsia="zh-CN"/>
              </w:rPr>
            </w:pPr>
            <w:r>
              <w:rPr>
                <w:rFonts w:hint="eastAsia" w:ascii="微软雅黑" w:hAnsi="微软雅黑"/>
                <w:sz w:val="20"/>
                <w:szCs w:val="20"/>
                <w:lang w:val="en-US" w:eastAsia="zh-CN"/>
              </w:rPr>
              <w:t>规格</w:t>
            </w:r>
          </w:p>
        </w:tc>
        <w:tc>
          <w:tcPr>
            <w:tcW w:w="3439" w:type="dxa"/>
            <w:vAlign w:val="center"/>
          </w:tcPr>
          <w:p w14:paraId="31CE85F6">
            <w:pPr>
              <w:jc w:val="center"/>
              <w:rPr>
                <w:rFonts w:ascii="微软雅黑" w:hAnsi="微软雅黑"/>
                <w:sz w:val="20"/>
                <w:szCs w:val="20"/>
              </w:rPr>
            </w:pPr>
            <w:r>
              <w:rPr>
                <w:rFonts w:ascii="微软雅黑" w:hAnsi="微软雅黑"/>
                <w:sz w:val="20"/>
                <w:szCs w:val="20"/>
              </w:rPr>
              <w:t>2U</w:t>
            </w:r>
          </w:p>
        </w:tc>
      </w:tr>
      <w:tr w14:paraId="0A2DCD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 w:hRule="atLeast"/>
          <w:jc w:val="center"/>
        </w:trPr>
        <w:tc>
          <w:tcPr>
            <w:tcW w:w="3196" w:type="dxa"/>
            <w:vAlign w:val="center"/>
          </w:tcPr>
          <w:p w14:paraId="0AE88000">
            <w:pPr>
              <w:jc w:val="center"/>
              <w:rPr>
                <w:rFonts w:ascii="微软雅黑" w:hAnsi="微软雅黑"/>
                <w:sz w:val="20"/>
                <w:szCs w:val="20"/>
              </w:rPr>
            </w:pPr>
            <w:r>
              <w:rPr>
                <w:rFonts w:hint="eastAsia" w:ascii="微软雅黑" w:hAnsi="微软雅黑"/>
                <w:sz w:val="20"/>
                <w:szCs w:val="20"/>
              </w:rPr>
              <w:t>电源</w:t>
            </w:r>
          </w:p>
        </w:tc>
        <w:tc>
          <w:tcPr>
            <w:tcW w:w="3439" w:type="dxa"/>
            <w:vAlign w:val="center"/>
          </w:tcPr>
          <w:p w14:paraId="2443D799">
            <w:pPr>
              <w:jc w:val="center"/>
              <w:rPr>
                <w:rFonts w:ascii="微软雅黑" w:hAnsi="微软雅黑"/>
                <w:sz w:val="20"/>
                <w:szCs w:val="20"/>
              </w:rPr>
            </w:pPr>
            <w:r>
              <w:rPr>
                <w:rFonts w:ascii="微软雅黑" w:hAnsi="微软雅黑"/>
                <w:sz w:val="20"/>
                <w:szCs w:val="20"/>
              </w:rPr>
              <w:t>冗余电源</w:t>
            </w:r>
          </w:p>
        </w:tc>
      </w:tr>
      <w:tr w14:paraId="499DCB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 w:hRule="atLeast"/>
          <w:jc w:val="center"/>
        </w:trPr>
        <w:tc>
          <w:tcPr>
            <w:tcW w:w="3196" w:type="dxa"/>
            <w:vAlign w:val="center"/>
          </w:tcPr>
          <w:p w14:paraId="3D160F0A">
            <w:pPr>
              <w:jc w:val="center"/>
              <w:rPr>
                <w:rFonts w:hint="eastAsia" w:ascii="微软雅黑" w:hAnsi="微软雅黑" w:eastAsia="微软雅黑"/>
                <w:sz w:val="20"/>
                <w:szCs w:val="20"/>
                <w:lang w:val="en-US" w:eastAsia="zh-CN"/>
              </w:rPr>
            </w:pPr>
            <w:r>
              <w:rPr>
                <w:rFonts w:hint="eastAsia" w:ascii="微软雅黑" w:hAnsi="微软雅黑"/>
                <w:sz w:val="20"/>
                <w:szCs w:val="20"/>
                <w:lang w:val="en-US" w:eastAsia="zh-CN"/>
              </w:rPr>
              <w:t>内存</w:t>
            </w:r>
          </w:p>
        </w:tc>
        <w:tc>
          <w:tcPr>
            <w:tcW w:w="3439" w:type="dxa"/>
            <w:vAlign w:val="center"/>
          </w:tcPr>
          <w:p w14:paraId="68F689FD">
            <w:pPr>
              <w:jc w:val="center"/>
              <w:rPr>
                <w:rFonts w:hint="default" w:ascii="微软雅黑" w:hAnsi="微软雅黑" w:eastAsia="微软雅黑"/>
                <w:sz w:val="20"/>
                <w:szCs w:val="20"/>
                <w:lang w:val="en-US" w:eastAsia="zh-CN"/>
              </w:rPr>
            </w:pPr>
            <w:r>
              <w:rPr>
                <w:rFonts w:hint="eastAsia" w:ascii="微软雅黑" w:hAnsi="微软雅黑"/>
                <w:sz w:val="20"/>
                <w:szCs w:val="20"/>
                <w:lang w:val="en-US" w:eastAsia="zh-CN"/>
              </w:rPr>
              <w:t>16G</w:t>
            </w:r>
          </w:p>
        </w:tc>
      </w:tr>
      <w:tr w14:paraId="202A42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 w:hRule="atLeast"/>
          <w:jc w:val="center"/>
        </w:trPr>
        <w:tc>
          <w:tcPr>
            <w:tcW w:w="3196" w:type="dxa"/>
            <w:vAlign w:val="center"/>
          </w:tcPr>
          <w:p w14:paraId="15F43F0C">
            <w:pPr>
              <w:jc w:val="center"/>
              <w:rPr>
                <w:rFonts w:hint="default" w:ascii="微软雅黑" w:hAnsi="微软雅黑"/>
                <w:sz w:val="20"/>
                <w:szCs w:val="20"/>
                <w:lang w:val="en-US" w:eastAsia="zh-CN"/>
              </w:rPr>
            </w:pPr>
            <w:r>
              <w:rPr>
                <w:rFonts w:hint="eastAsia" w:ascii="微软雅黑" w:hAnsi="微软雅黑"/>
                <w:sz w:val="20"/>
                <w:szCs w:val="20"/>
                <w:lang w:val="en-US" w:eastAsia="zh-CN"/>
              </w:rPr>
              <w:t>硬盘</w:t>
            </w:r>
          </w:p>
        </w:tc>
        <w:tc>
          <w:tcPr>
            <w:tcW w:w="3439" w:type="dxa"/>
            <w:vAlign w:val="center"/>
          </w:tcPr>
          <w:p w14:paraId="2C2303EF">
            <w:pPr>
              <w:jc w:val="center"/>
              <w:rPr>
                <w:rFonts w:hint="eastAsia" w:ascii="微软雅黑" w:hAnsi="微软雅黑"/>
                <w:sz w:val="20"/>
                <w:szCs w:val="20"/>
                <w:lang w:val="en-US" w:eastAsia="zh-CN"/>
              </w:rPr>
            </w:pPr>
            <w:r>
              <w:rPr>
                <w:rFonts w:hint="eastAsia" w:ascii="微软雅黑" w:hAnsi="微软雅黑"/>
                <w:sz w:val="20"/>
                <w:szCs w:val="20"/>
                <w:lang w:val="en-US" w:eastAsia="zh-CN"/>
              </w:rPr>
              <w:t>256G SSD</w:t>
            </w:r>
          </w:p>
        </w:tc>
      </w:tr>
      <w:tr w14:paraId="6C0AB3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 w:hRule="atLeast"/>
          <w:jc w:val="center"/>
        </w:trPr>
        <w:tc>
          <w:tcPr>
            <w:tcW w:w="3196" w:type="dxa"/>
            <w:vAlign w:val="center"/>
          </w:tcPr>
          <w:p w14:paraId="736DD594">
            <w:pPr>
              <w:jc w:val="center"/>
              <w:rPr>
                <w:rFonts w:hint="default" w:ascii="微软雅黑" w:hAnsi="微软雅黑"/>
                <w:sz w:val="20"/>
                <w:szCs w:val="20"/>
                <w:lang w:val="en-US" w:eastAsia="zh-CN"/>
              </w:rPr>
            </w:pPr>
            <w:r>
              <w:rPr>
                <w:rFonts w:hint="eastAsia" w:ascii="微软雅黑" w:hAnsi="微软雅黑"/>
                <w:sz w:val="20"/>
                <w:szCs w:val="20"/>
                <w:lang w:val="en-US" w:eastAsia="zh-CN"/>
              </w:rPr>
              <w:t>接口</w:t>
            </w:r>
          </w:p>
        </w:tc>
        <w:tc>
          <w:tcPr>
            <w:tcW w:w="3439" w:type="dxa"/>
            <w:vAlign w:val="center"/>
          </w:tcPr>
          <w:p w14:paraId="78C7779F">
            <w:pPr>
              <w:jc w:val="center"/>
              <w:rPr>
                <w:rFonts w:hint="eastAsia" w:ascii="微软雅黑" w:hAnsi="微软雅黑"/>
                <w:sz w:val="20"/>
                <w:szCs w:val="20"/>
                <w:lang w:val="en-US" w:eastAsia="zh-CN"/>
              </w:rPr>
            </w:pPr>
            <w:r>
              <w:rPr>
                <w:rFonts w:hint="eastAsia" w:ascii="微软雅黑" w:hAnsi="微软雅黑"/>
                <w:sz w:val="20"/>
                <w:szCs w:val="20"/>
                <w:lang w:val="en-US" w:eastAsia="zh-CN"/>
              </w:rPr>
              <w:t>8千兆电口+8千兆光口SFP+4万兆光口SFP+</w:t>
            </w:r>
          </w:p>
        </w:tc>
      </w:tr>
    </w:tbl>
    <w:p w14:paraId="740E47FF"/>
    <w:tbl>
      <w:tblPr>
        <w:tblStyle w:val="8"/>
        <w:tblW w:w="108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0128"/>
      </w:tblGrid>
      <w:tr w14:paraId="66E2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0803" w:type="dxa"/>
            <w:gridSpan w:val="2"/>
            <w:shd w:val="clear" w:color="auto" w:fill="0070C0"/>
            <w:vAlign w:val="center"/>
          </w:tcPr>
          <w:p w14:paraId="49A9D241">
            <w:pPr>
              <w:widowControl/>
              <w:snapToGrid w:val="0"/>
              <w:spacing w:line="360" w:lineRule="auto"/>
              <w:jc w:val="both"/>
              <w:rPr>
                <w:rFonts w:ascii="Arial" w:hAnsi="Arial" w:eastAsia="微软雅黑" w:cs="Arial"/>
                <w:b/>
                <w:bCs/>
                <w:color w:val="FFFFFF" w:themeColor="background1"/>
                <w:kern w:val="0"/>
                <w:sz w:val="24"/>
                <w:szCs w:val="24"/>
                <w:lang w:val="en-US" w:eastAsia="zh-CN" w:bidi="ar-SA"/>
                <w14:textFill>
                  <w14:solidFill>
                    <w14:schemeClr w14:val="bg1"/>
                  </w14:solidFill>
                </w14:textFill>
              </w:rPr>
            </w:pPr>
            <w:r>
              <w:rPr>
                <w:rFonts w:hint="eastAsia" w:ascii="Arial" w:hAnsi="Arial" w:eastAsia="微软雅黑" w:cs="Arial"/>
                <w:b/>
                <w:bCs/>
                <w:color w:val="FFFFFF" w:themeColor="background1"/>
                <w:kern w:val="0"/>
                <w:sz w:val="24"/>
                <w:szCs w:val="24"/>
                <w:lang w:val="en-US" w:eastAsia="zh-CN" w:bidi="ar-SA"/>
                <w14:textFill>
                  <w14:solidFill>
                    <w14:schemeClr w14:val="bg1"/>
                  </w14:solidFill>
                </w14:textFill>
              </w:rPr>
              <w:t>功能列表</w:t>
            </w:r>
          </w:p>
        </w:tc>
      </w:tr>
      <w:tr w14:paraId="45CD6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75" w:type="dxa"/>
            <w:vAlign w:val="center"/>
          </w:tcPr>
          <w:p w14:paraId="3B364677">
            <w:pPr>
              <w:widowControl/>
              <w:snapToGrid w:val="0"/>
              <w:spacing w:line="360" w:lineRule="auto"/>
              <w:jc w:val="both"/>
              <w:rPr>
                <w:rFonts w:ascii="Arial" w:hAnsi="Arial" w:eastAsia="微软雅黑" w:cs="Arial"/>
                <w:b/>
                <w:bCs/>
                <w:color w:val="003592"/>
                <w:kern w:val="0"/>
                <w:sz w:val="16"/>
                <w:szCs w:val="21"/>
                <w:lang w:val="en-US" w:eastAsia="zh-CN" w:bidi="ar-SA"/>
              </w:rPr>
            </w:pPr>
            <w:r>
              <w:rPr>
                <w:rFonts w:hint="eastAsia" w:ascii="Arial" w:hAnsi="Arial" w:eastAsia="微软雅黑" w:cs="Arial"/>
                <w:b/>
                <w:bCs/>
                <w:color w:val="003592"/>
                <w:kern w:val="0"/>
                <w:sz w:val="16"/>
                <w:szCs w:val="21"/>
                <w:lang w:val="en-US" w:eastAsia="zh-CN" w:bidi="ar-SA"/>
              </w:rPr>
              <w:t>功能</w:t>
            </w:r>
          </w:p>
          <w:p w14:paraId="041D98D5">
            <w:pPr>
              <w:widowControl/>
              <w:snapToGrid w:val="0"/>
              <w:spacing w:line="360" w:lineRule="auto"/>
              <w:jc w:val="both"/>
              <w:rPr>
                <w:rFonts w:ascii="Arial" w:hAnsi="Arial" w:eastAsia="微软雅黑" w:cs="Arial"/>
                <w:b/>
                <w:bCs/>
                <w:color w:val="003592"/>
                <w:kern w:val="0"/>
                <w:sz w:val="16"/>
                <w:szCs w:val="21"/>
                <w:lang w:val="en-US" w:eastAsia="zh-CN" w:bidi="ar-SA"/>
              </w:rPr>
            </w:pPr>
            <w:r>
              <w:rPr>
                <w:rFonts w:hint="eastAsia" w:ascii="Arial" w:hAnsi="Arial" w:eastAsia="微软雅黑" w:cs="Arial"/>
                <w:b/>
                <w:bCs/>
                <w:color w:val="003592"/>
                <w:kern w:val="0"/>
                <w:sz w:val="16"/>
                <w:szCs w:val="21"/>
                <w:lang w:val="en-US" w:eastAsia="zh-CN" w:bidi="ar-SA"/>
              </w:rPr>
              <w:t>分类</w:t>
            </w:r>
          </w:p>
        </w:tc>
        <w:tc>
          <w:tcPr>
            <w:tcW w:w="10128" w:type="dxa"/>
            <w:vAlign w:val="center"/>
          </w:tcPr>
          <w:p w14:paraId="7C1F5567">
            <w:pPr>
              <w:widowControl/>
              <w:snapToGrid w:val="0"/>
              <w:spacing w:line="360" w:lineRule="auto"/>
              <w:jc w:val="both"/>
              <w:rPr>
                <w:rFonts w:ascii="Arial" w:hAnsi="Arial" w:eastAsia="微软雅黑" w:cs="Arial"/>
                <w:b/>
                <w:bCs/>
                <w:color w:val="003592"/>
                <w:kern w:val="0"/>
                <w:sz w:val="21"/>
                <w:szCs w:val="21"/>
                <w:lang w:val="en-US" w:eastAsia="zh-CN" w:bidi="ar-SA"/>
              </w:rPr>
            </w:pPr>
            <w:r>
              <w:rPr>
                <w:rFonts w:hint="eastAsia" w:ascii="Arial" w:hAnsi="Arial" w:eastAsia="微软雅黑" w:cs="Arial"/>
                <w:b/>
                <w:bCs/>
                <w:color w:val="003592"/>
                <w:kern w:val="0"/>
                <w:sz w:val="21"/>
                <w:szCs w:val="21"/>
                <w:lang w:val="en-US" w:eastAsia="zh-CN" w:bidi="ar-SA"/>
              </w:rPr>
              <w:t>详细指标</w:t>
            </w:r>
          </w:p>
        </w:tc>
      </w:tr>
      <w:tr w14:paraId="6C64B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675" w:type="dxa"/>
            <w:vMerge w:val="restart"/>
            <w:shd w:val="clear" w:color="auto" w:fill="00B0F0"/>
            <w:textDirection w:val="tbRlV"/>
            <w:vAlign w:val="center"/>
          </w:tcPr>
          <w:p w14:paraId="0AE8AA08">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r>
              <w:rPr>
                <w:rFonts w:hint="eastAsia" w:ascii="Arial" w:hAnsi="Arial" w:eastAsia="微软雅黑" w:cs="Arial"/>
                <w:bCs/>
                <w:color w:val="FFFFFF" w:themeColor="background1"/>
                <w:kern w:val="0"/>
                <w:sz w:val="21"/>
                <w:szCs w:val="21"/>
                <w:lang w:val="en-US" w:eastAsia="zh-CN" w:bidi="ar-SA"/>
                <w14:textFill>
                  <w14:solidFill>
                    <w14:schemeClr w14:val="bg1"/>
                  </w14:solidFill>
                </w14:textFill>
              </w:rPr>
              <w:t>链路负载</w:t>
            </w:r>
          </w:p>
        </w:tc>
        <w:tc>
          <w:tcPr>
            <w:tcW w:w="10128" w:type="dxa"/>
            <w:shd w:val="clear" w:color="auto" w:fill="DAEEF3" w:themeFill="accent5" w:themeFillTint="33"/>
            <w:vAlign w:val="center"/>
          </w:tcPr>
          <w:p w14:paraId="319DBAC5">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支持智能DNS解析功能；支持DNS内网记录，支持A记录、CNAME记录、MX记录和TXT记录类型；</w:t>
            </w:r>
          </w:p>
        </w:tc>
      </w:tr>
      <w:tr w14:paraId="72DF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vMerge w:val="continue"/>
            <w:shd w:val="clear" w:color="auto" w:fill="00B0F0"/>
            <w:textDirection w:val="tbRlV"/>
            <w:vAlign w:val="center"/>
          </w:tcPr>
          <w:p w14:paraId="0D1927D4">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vAlign w:val="center"/>
          </w:tcPr>
          <w:p w14:paraId="2E6C6D5C">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支持轮询、加权轮询、加权最小连接、加权最小流量、哈希等负载均衡算法；</w:t>
            </w:r>
          </w:p>
        </w:tc>
      </w:tr>
      <w:tr w14:paraId="03AA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B0F0"/>
            <w:textDirection w:val="tbRlV"/>
            <w:vAlign w:val="center"/>
          </w:tcPr>
          <w:p w14:paraId="6C318536">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DAEEF3" w:themeFill="accent5" w:themeFillTint="33"/>
            <w:vAlign w:val="center"/>
          </w:tcPr>
          <w:p w14:paraId="5C94DFAF">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支持基于域名链路负载均衡策略，实现域名与公网IP多对一的关系；</w:t>
            </w:r>
          </w:p>
        </w:tc>
      </w:tr>
      <w:tr w14:paraId="48B9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B0F0"/>
            <w:textDirection w:val="tbRlV"/>
            <w:vAlign w:val="center"/>
          </w:tcPr>
          <w:p w14:paraId="565723DA">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vAlign w:val="center"/>
          </w:tcPr>
          <w:p w14:paraId="20142A77">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支持RIP v1、RIP v2、OSPF等动态路由协议；</w:t>
            </w:r>
          </w:p>
        </w:tc>
      </w:tr>
      <w:tr w14:paraId="4E34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B0F0"/>
            <w:textDirection w:val="tbRlV"/>
            <w:vAlign w:val="center"/>
          </w:tcPr>
          <w:p w14:paraId="6C500B53">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DAEEF3" w:themeFill="accent5" w:themeFillTint="33"/>
          </w:tcPr>
          <w:p w14:paraId="7045D5D9">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支持智能路由，根据用户需求定制负载策略，可基于访问目的域名选择出站链路，自定义时间段实现对智能路由的时间段控制；</w:t>
            </w:r>
          </w:p>
        </w:tc>
      </w:tr>
      <w:tr w14:paraId="70A7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B0F0"/>
            <w:textDirection w:val="tbRlV"/>
            <w:vAlign w:val="center"/>
          </w:tcPr>
          <w:p w14:paraId="7CB2B357">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FFFFFF" w:themeFill="background1"/>
          </w:tcPr>
          <w:p w14:paraId="0CFE9387">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支持静态IP和PPPOE两种线路接入方式；</w:t>
            </w:r>
          </w:p>
        </w:tc>
      </w:tr>
      <w:tr w14:paraId="7980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B0F0"/>
            <w:textDirection w:val="tbRlV"/>
            <w:vAlign w:val="center"/>
          </w:tcPr>
          <w:p w14:paraId="466E0CFB">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DAEEF3" w:themeFill="accent5" w:themeFillTint="33"/>
            <w:vAlign w:val="center"/>
          </w:tcPr>
          <w:p w14:paraId="59E93A7A">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支持基于URL的链路调度功能，内置不少于1000条的国外URL网址库，无需手动导入并支持自动更新；可根据URL将访问国外网站的请求调度到指定线路；</w:t>
            </w:r>
          </w:p>
        </w:tc>
      </w:tr>
      <w:tr w14:paraId="63DE6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B0F0"/>
            <w:textDirection w:val="tbRlV"/>
            <w:vAlign w:val="center"/>
          </w:tcPr>
          <w:p w14:paraId="09C01BDA">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FFFFFF" w:themeFill="background1"/>
            <w:vAlign w:val="center"/>
          </w:tcPr>
          <w:p w14:paraId="727F051C">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支持基于应用协议的智能选路，能对网银、游戏、视频等流量进行调度；</w:t>
            </w:r>
          </w:p>
        </w:tc>
      </w:tr>
      <w:tr w14:paraId="7067F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B0F0"/>
            <w:textDirection w:val="tbRlV"/>
            <w:vAlign w:val="center"/>
          </w:tcPr>
          <w:p w14:paraId="10358208">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DAEEF3" w:themeFill="accent5" w:themeFillTint="33"/>
            <w:vAlign w:val="center"/>
          </w:tcPr>
          <w:p w14:paraId="4DC807F1">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链路负载投屏展示，能够分别基于链路监测、应用选路和ISP流量进行投屏展示分析。链路监测展示链路的健康状态、上下行带宽、总带宽、新建连接数、并发连接数和吞吐量；应用选路展示基于应用分类选择相应链路的示意图；ISP展示基于运营商分类选择链路的示意图；</w:t>
            </w:r>
          </w:p>
        </w:tc>
      </w:tr>
      <w:tr w14:paraId="3D3C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B0F0"/>
            <w:textDirection w:val="tbRlV"/>
            <w:vAlign w:val="center"/>
          </w:tcPr>
          <w:p w14:paraId="30495D4B">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FFFFFF" w:themeFill="background1"/>
            <w:vAlign w:val="center"/>
          </w:tcPr>
          <w:p w14:paraId="1DCAAC52">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支持三明治架构，对防火墙、IPS、行为管理等网络设备进行流量负载均衡和故障切换，使以上网络设备获得Active-Active运行的能力；</w:t>
            </w:r>
          </w:p>
        </w:tc>
      </w:tr>
      <w:tr w14:paraId="0E1A4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B0F0"/>
            <w:textDirection w:val="tbRlV"/>
            <w:vAlign w:val="center"/>
          </w:tcPr>
          <w:p w14:paraId="18E40965">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DAEEF3" w:themeFill="accent5" w:themeFillTint="33"/>
            <w:vAlign w:val="center"/>
          </w:tcPr>
          <w:p w14:paraId="1F990697">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支持链路拥塞控制技术和DNS透明代理技术，解决链路使用不均衡问题，提升链路利用率；</w:t>
            </w:r>
          </w:p>
        </w:tc>
      </w:tr>
      <w:tr w14:paraId="5741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B0F0"/>
            <w:textDirection w:val="tbRlV"/>
            <w:vAlign w:val="center"/>
          </w:tcPr>
          <w:p w14:paraId="04C184A2">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FFFFFF" w:themeFill="background1"/>
            <w:vAlign w:val="center"/>
          </w:tcPr>
          <w:p w14:paraId="563EF036">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针对多条ISP链路，同时支持动态检测网络就近性和以地址段判断的静态就近性判断，并以此为依据选择最优的ISP链路。</w:t>
            </w:r>
          </w:p>
        </w:tc>
      </w:tr>
      <w:tr w14:paraId="1E18C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restart"/>
            <w:shd w:val="clear" w:color="auto" w:fill="0070C0"/>
            <w:textDirection w:val="tbRlV"/>
            <w:vAlign w:val="center"/>
          </w:tcPr>
          <w:p w14:paraId="4A7BBC41">
            <w:pPr>
              <w:widowControl/>
              <w:snapToGrid w:val="0"/>
              <w:spacing w:line="360" w:lineRule="auto"/>
              <w:ind w:left="113" w:right="113"/>
              <w:jc w:val="center"/>
              <w:rPr>
                <w:rFonts w:hint="default" w:ascii="Arial" w:hAnsi="Arial" w:eastAsia="微软雅黑" w:cs="Arial"/>
                <w:bCs/>
                <w:color w:val="FFFFFF" w:themeColor="background1"/>
                <w:kern w:val="0"/>
                <w:sz w:val="21"/>
                <w:szCs w:val="21"/>
                <w:lang w:val="en-US" w:eastAsia="zh-CN" w:bidi="ar-SA"/>
                <w14:textFill>
                  <w14:solidFill>
                    <w14:schemeClr w14:val="bg1"/>
                  </w14:solidFill>
                </w14:textFill>
              </w:rPr>
            </w:pPr>
            <w:r>
              <w:rPr>
                <w:rFonts w:hint="eastAsia" w:ascii="Arial" w:hAnsi="Arial" w:eastAsia="微软雅黑" w:cs="Arial"/>
                <w:bCs/>
                <w:color w:val="FFFFFF" w:themeColor="background1"/>
                <w:kern w:val="0"/>
                <w:sz w:val="21"/>
                <w:szCs w:val="21"/>
                <w:lang w:val="en-US" w:eastAsia="zh-CN" w:bidi="ar-SA"/>
                <w14:textFill>
                  <w14:solidFill>
                    <w14:schemeClr w14:val="bg1"/>
                  </w14:solidFill>
                </w14:textFill>
              </w:rPr>
              <w:t>应用负载均衡（包含IPv6）</w:t>
            </w:r>
          </w:p>
        </w:tc>
        <w:tc>
          <w:tcPr>
            <w:tcW w:w="10128" w:type="dxa"/>
            <w:shd w:val="clear" w:color="auto" w:fill="DAEEF3" w:themeFill="accent5" w:themeFillTint="33"/>
          </w:tcPr>
          <w:p w14:paraId="5BE888E4">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支持完善的L4/L7内容交换与负载均衡策略，可针对不同的业务应用系统划分配置成多个虚拟服务；</w:t>
            </w:r>
          </w:p>
        </w:tc>
      </w:tr>
      <w:tr w14:paraId="1E0E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70C0"/>
            <w:textDirection w:val="tbRlV"/>
            <w:vAlign w:val="center"/>
          </w:tcPr>
          <w:p w14:paraId="3AB37160">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auto"/>
          </w:tcPr>
          <w:p w14:paraId="337CAC5B">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支持服务器温暖上线和平滑退出，便于维护管理；支持服务器最大连接限制和并发限制，避免服务器过载；</w:t>
            </w:r>
          </w:p>
        </w:tc>
      </w:tr>
      <w:tr w14:paraId="57F0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70C0"/>
            <w:textDirection w:val="tbRlV"/>
            <w:vAlign w:val="center"/>
          </w:tcPr>
          <w:p w14:paraId="18DD37F5">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DAEEF3" w:themeFill="accent5" w:themeFillTint="33"/>
          </w:tcPr>
          <w:p w14:paraId="56D10513">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支持基于SNMP、ICMP、UDP、TCP、DNS、RADIUS、HTTP、数据库(MYSQL/MSSQL/Oracle)及自定义健康检查方式；</w:t>
            </w:r>
          </w:p>
        </w:tc>
      </w:tr>
      <w:tr w14:paraId="7B7BE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70C0"/>
            <w:textDirection w:val="tbRlV"/>
            <w:vAlign w:val="center"/>
          </w:tcPr>
          <w:p w14:paraId="77981F8D">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tcPr>
          <w:p w14:paraId="5B09FCEE">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支持基于TCP和HTTP的被动式健康检查，通过对业务流持续观测来判定服务器节点是否有效；</w:t>
            </w:r>
          </w:p>
        </w:tc>
      </w:tr>
      <w:tr w14:paraId="1717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70C0"/>
            <w:textDirection w:val="tbRlV"/>
            <w:vAlign w:val="center"/>
          </w:tcPr>
          <w:p w14:paraId="03EEA22B">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DAEEF3" w:themeFill="accent5" w:themeFillTint="33"/>
          </w:tcPr>
          <w:p w14:paraId="555E45E4">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支持基于TCP行为观测的调控机制，当判断出服务器性能不足时对其过载保护，实现应用系统弹性负载；</w:t>
            </w:r>
          </w:p>
        </w:tc>
      </w:tr>
      <w:tr w14:paraId="3FC4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70C0"/>
            <w:textDirection w:val="tbRlV"/>
            <w:vAlign w:val="center"/>
          </w:tcPr>
          <w:p w14:paraId="79E65099">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tcPr>
          <w:p w14:paraId="5260E944">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支持浪涌保护，对于超过服务器性能上限的新建连接在负载均衡器上缓存起来放入队列中缓慢发给服务器，不直接丢弃数据；</w:t>
            </w:r>
          </w:p>
        </w:tc>
      </w:tr>
      <w:tr w14:paraId="6C75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70C0"/>
            <w:textDirection w:val="tbRlV"/>
            <w:vAlign w:val="center"/>
          </w:tcPr>
          <w:p w14:paraId="47A92735">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DAEEF3" w:themeFill="accent5" w:themeFillTint="33"/>
          </w:tcPr>
          <w:p w14:paraId="4481DF9D">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支持图片优化技术，将网页中的图片做优化处理，保证图片清晰度的同时减少图片文件大小，提高传输速率；</w:t>
            </w:r>
          </w:p>
        </w:tc>
      </w:tr>
      <w:tr w14:paraId="1FD5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70C0"/>
            <w:textDirection w:val="tbRlV"/>
            <w:vAlign w:val="center"/>
          </w:tcPr>
          <w:p w14:paraId="5868626C">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auto"/>
          </w:tcPr>
          <w:p w14:paraId="61F2605D">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支持HTTP请求/应答改写、HTTP/HTTPS请求内容匹配、页面跳转、丢弃等高级调度策略；</w:t>
            </w:r>
          </w:p>
        </w:tc>
      </w:tr>
      <w:tr w14:paraId="20DE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70C0"/>
            <w:textDirection w:val="tbRlV"/>
            <w:vAlign w:val="center"/>
          </w:tcPr>
          <w:p w14:paraId="59493D0A">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DAEEF3" w:themeFill="accent5" w:themeFillTint="33"/>
            <w:vAlign w:val="center"/>
          </w:tcPr>
          <w:p w14:paraId="18AF23DC">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支持命令行配置，支持Tab键补全操作，支持界面全部模块通过命令行的模式配置，支持命令批量操作，支持配置导入导出命令行操作；</w:t>
            </w:r>
          </w:p>
        </w:tc>
      </w:tr>
      <w:tr w14:paraId="2B3D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70C0"/>
            <w:textDirection w:val="tbRlV"/>
            <w:vAlign w:val="center"/>
          </w:tcPr>
          <w:p w14:paraId="4D84AEE8">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FFFFFF" w:themeFill="background1"/>
            <w:vAlign w:val="center"/>
          </w:tcPr>
          <w:p w14:paraId="4A90C829">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服务器负载状态支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w:t>
            </w:r>
          </w:p>
        </w:tc>
      </w:tr>
      <w:tr w14:paraId="4AB58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70C0"/>
            <w:textDirection w:val="tbRlV"/>
            <w:vAlign w:val="center"/>
          </w:tcPr>
          <w:p w14:paraId="36A0B8E6">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DAEEF3" w:themeFill="accent5" w:themeFillTint="33"/>
            <w:vAlign w:val="center"/>
          </w:tcPr>
          <w:p w14:paraId="7BD709E0">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支持SSL加速、HTTP压缩、内存缓存、连接复用技术，提升用户访问速度，同时节省硬件投资成本；</w:t>
            </w:r>
          </w:p>
        </w:tc>
      </w:tr>
      <w:tr w14:paraId="497CB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70C0"/>
            <w:textDirection w:val="tbRlV"/>
            <w:vAlign w:val="center"/>
          </w:tcPr>
          <w:p w14:paraId="25CD6551">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DAEEF3" w:themeFill="accent5" w:themeFillTint="33"/>
          </w:tcPr>
          <w:p w14:paraId="5D63A655">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支持轮询、加权轮询、加权最小连接、哈希、动态反馈等负载均衡算法；</w:t>
            </w:r>
          </w:p>
        </w:tc>
      </w:tr>
      <w:tr w14:paraId="59B4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70C0"/>
            <w:textDirection w:val="tbRlV"/>
            <w:vAlign w:val="center"/>
          </w:tcPr>
          <w:p w14:paraId="3D8E2D82">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FFFFFF" w:themeFill="background1"/>
          </w:tcPr>
          <w:p w14:paraId="19CF63BF">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支持基于源IP、Cookie(插入/ 被动/ 改写)、HTTP (Header/ Body)、RADIUS、SSL Session ID的会话保持技术；</w:t>
            </w:r>
          </w:p>
        </w:tc>
      </w:tr>
      <w:tr w14:paraId="34BCE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70C0"/>
            <w:textDirection w:val="tbRlV"/>
            <w:vAlign w:val="center"/>
          </w:tcPr>
          <w:p w14:paraId="34E653D8">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DAEEF3" w:themeFill="accent5" w:themeFillTint="33"/>
            <w:vAlign w:val="center"/>
          </w:tcPr>
          <w:p w14:paraId="2C796FFE">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支持基于消息的长连接负载（MBLB），对于非HTTP协议的长连接应用，可通过分析议特征来识别消息的开始和截止，以消息为对象进行七层负载均衡，而非传统基于连接的四层负载均衡；</w:t>
            </w:r>
          </w:p>
        </w:tc>
      </w:tr>
      <w:tr w14:paraId="2D5D4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70C0"/>
            <w:textDirection w:val="tbRlV"/>
            <w:vAlign w:val="center"/>
          </w:tcPr>
          <w:p w14:paraId="6CEEFE36">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auto"/>
          </w:tcPr>
          <w:p w14:paraId="7F21ACA3">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IPv6支持双栈模式，支持NAT46、NAT64、NAT66、FTP ALG、DNS64等协议转换；</w:t>
            </w:r>
          </w:p>
        </w:tc>
      </w:tr>
      <w:tr w14:paraId="1A39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70C0"/>
            <w:textDirection w:val="tbRlV"/>
            <w:vAlign w:val="center"/>
          </w:tcPr>
          <w:p w14:paraId="63608F23">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DAEEF3" w:themeFill="accent5" w:themeFillTint="33"/>
          </w:tcPr>
          <w:p w14:paraId="64C2A0C8">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支持网站页面IP形式和域名形式外部链接的正常访问；支持静态和动态网站页面静态和动态引用站外内容的正常显示；支持静态和动态网站页面静态和动态外部链接的无限级正常跳转</w:t>
            </w:r>
          </w:p>
        </w:tc>
      </w:tr>
      <w:tr w14:paraId="08C1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70C0"/>
            <w:textDirection w:val="tbRlV"/>
            <w:vAlign w:val="center"/>
          </w:tcPr>
          <w:p w14:paraId="61F60A94">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auto"/>
          </w:tcPr>
          <w:p w14:paraId="458CA82F">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IPv6改造方案能够解决天窗问题，外链和网站子链发生修改时支持自动识别并做主动修改，不允许通过人工解析配置的方式解决天窗问题；</w:t>
            </w:r>
          </w:p>
        </w:tc>
      </w:tr>
      <w:tr w14:paraId="6CED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restart"/>
            <w:shd w:val="clear" w:color="auto" w:fill="00B0F0"/>
            <w:textDirection w:val="tbRlV"/>
            <w:vAlign w:val="center"/>
          </w:tcPr>
          <w:p w14:paraId="6AE0FD75">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r>
              <w:rPr>
                <w:rFonts w:ascii="Arial" w:hAnsi="Arial" w:eastAsia="微软雅黑" w:cs="Arial"/>
                <w:bCs/>
                <w:color w:val="FFFFFF" w:themeColor="background1"/>
                <w:kern w:val="0"/>
                <w:sz w:val="21"/>
                <w:szCs w:val="21"/>
                <w:lang w:val="en-US" w:eastAsia="zh-CN" w:bidi="ar-SA"/>
                <w14:textFill>
                  <w14:solidFill>
                    <w14:schemeClr w14:val="bg1"/>
                  </w14:solidFill>
                </w14:textFill>
              </w:rPr>
              <w:t>全局负载</w:t>
            </w:r>
          </w:p>
        </w:tc>
        <w:tc>
          <w:tcPr>
            <w:tcW w:w="10128" w:type="dxa"/>
            <w:shd w:val="clear" w:color="auto" w:fill="DAEEF3" w:themeFill="accent5" w:themeFillTint="33"/>
            <w:vAlign w:val="center"/>
          </w:tcPr>
          <w:p w14:paraId="5CC8AAEC">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支持轮询、加权轮询、首个可用、静态就近性、动态就近性等策略；</w:t>
            </w:r>
          </w:p>
        </w:tc>
      </w:tr>
      <w:tr w14:paraId="5E17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B0F0"/>
            <w:textDirection w:val="tbRlV"/>
            <w:vAlign w:val="center"/>
          </w:tcPr>
          <w:p w14:paraId="3518A642">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auto"/>
            <w:vAlign w:val="top"/>
          </w:tcPr>
          <w:p w14:paraId="43CD9051">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SLB能够通过健康检查来获取后端服务器状态，同时将服务可用性、设备CPU、新建并发吞吐等数据上报GSLB，设备之间的联动使得GSLB能根据链路和服务器两者的综合状态实现智能切换，为用户选择最优的数据中心和服务器分配方式；</w:t>
            </w:r>
          </w:p>
        </w:tc>
      </w:tr>
      <w:tr w14:paraId="02F56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75" w:type="dxa"/>
            <w:vMerge w:val="continue"/>
            <w:shd w:val="clear" w:color="auto" w:fill="00B0F0"/>
            <w:textDirection w:val="tbRlV"/>
            <w:vAlign w:val="center"/>
          </w:tcPr>
          <w:p w14:paraId="0D0EC389">
            <w:pPr>
              <w:widowControl/>
              <w:snapToGrid w:val="0"/>
              <w:spacing w:line="360" w:lineRule="auto"/>
              <w:ind w:left="113" w:right="113"/>
              <w:jc w:val="center"/>
              <w:rPr>
                <w:rFonts w:ascii="Arial" w:hAnsi="Arial" w:eastAsia="微软雅黑" w:cs="Arial"/>
                <w:bCs/>
                <w:color w:val="FFFFFF" w:themeColor="background1"/>
                <w:kern w:val="0"/>
                <w:sz w:val="21"/>
                <w:szCs w:val="21"/>
                <w:lang w:val="en-US" w:eastAsia="zh-CN" w:bidi="ar-SA"/>
                <w14:textFill>
                  <w14:solidFill>
                    <w14:schemeClr w14:val="bg1"/>
                  </w14:solidFill>
                </w14:textFill>
              </w:rPr>
            </w:pPr>
          </w:p>
        </w:tc>
        <w:tc>
          <w:tcPr>
            <w:tcW w:w="10128" w:type="dxa"/>
            <w:shd w:val="clear" w:color="auto" w:fill="DAEEF3" w:themeFill="accent5" w:themeFillTint="33"/>
            <w:vAlign w:val="top"/>
          </w:tcPr>
          <w:p w14:paraId="4AD8450D">
            <w:pPr>
              <w:widowControl/>
              <w:snapToGrid w:val="0"/>
              <w:spacing w:line="240" w:lineRule="auto"/>
              <w:jc w:val="both"/>
              <w:rPr>
                <w:rFonts w:hint="eastAsia" w:ascii="Arial" w:hAnsi="Arial" w:eastAsia="微软雅黑" w:cs="Arial"/>
                <w:bCs/>
                <w:kern w:val="0"/>
                <w:sz w:val="18"/>
                <w:szCs w:val="18"/>
                <w:lang w:val="en-US" w:eastAsia="zh-CN" w:bidi="ar-SA"/>
              </w:rPr>
            </w:pPr>
            <w:r>
              <w:rPr>
                <w:rFonts w:hint="eastAsia" w:ascii="Arial" w:hAnsi="Arial" w:eastAsia="微软雅黑" w:cs="Arial"/>
                <w:bCs/>
                <w:kern w:val="0"/>
                <w:sz w:val="18"/>
                <w:szCs w:val="18"/>
                <w:lang w:val="en-US" w:eastAsia="zh-CN" w:bidi="ar-SA"/>
              </w:rPr>
              <w:t>支持跨数据中心集群和跨数据中心会话保持。</w:t>
            </w:r>
          </w:p>
        </w:tc>
      </w:tr>
    </w:tbl>
    <w:p w14:paraId="3A6F78AC">
      <w:pPr>
        <w:spacing w:line="240" w:lineRule="auto"/>
      </w:pP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Noto Sans Mono CJK JP Regular">
    <w:altName w:val="Segoe Print"/>
    <w:panose1 w:val="020B0604020202020204"/>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12"/>
    <w:rsid w:val="00000986"/>
    <w:rsid w:val="00001780"/>
    <w:rsid w:val="000072B1"/>
    <w:rsid w:val="00033F5B"/>
    <w:rsid w:val="00034C33"/>
    <w:rsid w:val="000459B9"/>
    <w:rsid w:val="0005055E"/>
    <w:rsid w:val="00060606"/>
    <w:rsid w:val="0006348D"/>
    <w:rsid w:val="00070C0D"/>
    <w:rsid w:val="00072D90"/>
    <w:rsid w:val="00082268"/>
    <w:rsid w:val="000849B3"/>
    <w:rsid w:val="00090676"/>
    <w:rsid w:val="000935F0"/>
    <w:rsid w:val="00094B16"/>
    <w:rsid w:val="000978CF"/>
    <w:rsid w:val="000A043C"/>
    <w:rsid w:val="000D62CB"/>
    <w:rsid w:val="000D7262"/>
    <w:rsid w:val="000E1EB5"/>
    <w:rsid w:val="000E5B63"/>
    <w:rsid w:val="000E7E27"/>
    <w:rsid w:val="000F113A"/>
    <w:rsid w:val="00102056"/>
    <w:rsid w:val="001115F8"/>
    <w:rsid w:val="001150E9"/>
    <w:rsid w:val="00116801"/>
    <w:rsid w:val="00116B6C"/>
    <w:rsid w:val="00117D14"/>
    <w:rsid w:val="001222AE"/>
    <w:rsid w:val="00127396"/>
    <w:rsid w:val="00134551"/>
    <w:rsid w:val="00165DEC"/>
    <w:rsid w:val="001677E5"/>
    <w:rsid w:val="001722FA"/>
    <w:rsid w:val="001825FD"/>
    <w:rsid w:val="00187378"/>
    <w:rsid w:val="00190230"/>
    <w:rsid w:val="00196039"/>
    <w:rsid w:val="001A2BBD"/>
    <w:rsid w:val="001B41DD"/>
    <w:rsid w:val="001D47C4"/>
    <w:rsid w:val="001F09A3"/>
    <w:rsid w:val="001F55FE"/>
    <w:rsid w:val="00210279"/>
    <w:rsid w:val="00213EC6"/>
    <w:rsid w:val="00221764"/>
    <w:rsid w:val="002236AA"/>
    <w:rsid w:val="00223C20"/>
    <w:rsid w:val="00224A77"/>
    <w:rsid w:val="00227604"/>
    <w:rsid w:val="0022777F"/>
    <w:rsid w:val="00240797"/>
    <w:rsid w:val="002470DF"/>
    <w:rsid w:val="00247244"/>
    <w:rsid w:val="0025275E"/>
    <w:rsid w:val="00262875"/>
    <w:rsid w:val="00264473"/>
    <w:rsid w:val="00283664"/>
    <w:rsid w:val="002A17FF"/>
    <w:rsid w:val="002A4DE3"/>
    <w:rsid w:val="002A6658"/>
    <w:rsid w:val="002B441D"/>
    <w:rsid w:val="002D7AE3"/>
    <w:rsid w:val="002E4152"/>
    <w:rsid w:val="002E5EF1"/>
    <w:rsid w:val="002E62E6"/>
    <w:rsid w:val="003010B4"/>
    <w:rsid w:val="00303175"/>
    <w:rsid w:val="00321FB5"/>
    <w:rsid w:val="003258C4"/>
    <w:rsid w:val="00335D01"/>
    <w:rsid w:val="003411A0"/>
    <w:rsid w:val="00347C02"/>
    <w:rsid w:val="00354987"/>
    <w:rsid w:val="003622BB"/>
    <w:rsid w:val="003738E3"/>
    <w:rsid w:val="0038205F"/>
    <w:rsid w:val="00383150"/>
    <w:rsid w:val="003954C1"/>
    <w:rsid w:val="003B0735"/>
    <w:rsid w:val="003B1EF8"/>
    <w:rsid w:val="003B50DB"/>
    <w:rsid w:val="003C3F03"/>
    <w:rsid w:val="003C6C75"/>
    <w:rsid w:val="003C79B8"/>
    <w:rsid w:val="003D272B"/>
    <w:rsid w:val="003E1863"/>
    <w:rsid w:val="0040096F"/>
    <w:rsid w:val="00401D5B"/>
    <w:rsid w:val="004026FF"/>
    <w:rsid w:val="00412447"/>
    <w:rsid w:val="00416952"/>
    <w:rsid w:val="004231C0"/>
    <w:rsid w:val="004265EA"/>
    <w:rsid w:val="00431E6C"/>
    <w:rsid w:val="00433BE3"/>
    <w:rsid w:val="00437362"/>
    <w:rsid w:val="00452EAA"/>
    <w:rsid w:val="00456B87"/>
    <w:rsid w:val="00457568"/>
    <w:rsid w:val="004640B2"/>
    <w:rsid w:val="00466211"/>
    <w:rsid w:val="00470F5B"/>
    <w:rsid w:val="004712D6"/>
    <w:rsid w:val="00477C26"/>
    <w:rsid w:val="004809CA"/>
    <w:rsid w:val="0048141A"/>
    <w:rsid w:val="00483101"/>
    <w:rsid w:val="00485C15"/>
    <w:rsid w:val="00491DCC"/>
    <w:rsid w:val="004A1994"/>
    <w:rsid w:val="004B6CB6"/>
    <w:rsid w:val="004C144D"/>
    <w:rsid w:val="004E1C35"/>
    <w:rsid w:val="004E627D"/>
    <w:rsid w:val="00501748"/>
    <w:rsid w:val="0050234F"/>
    <w:rsid w:val="00504480"/>
    <w:rsid w:val="00510B21"/>
    <w:rsid w:val="005312E8"/>
    <w:rsid w:val="00540888"/>
    <w:rsid w:val="00546799"/>
    <w:rsid w:val="00555524"/>
    <w:rsid w:val="00561A70"/>
    <w:rsid w:val="005641BE"/>
    <w:rsid w:val="005709A9"/>
    <w:rsid w:val="0057183F"/>
    <w:rsid w:val="00575EEA"/>
    <w:rsid w:val="0057783F"/>
    <w:rsid w:val="005B4209"/>
    <w:rsid w:val="005C0D17"/>
    <w:rsid w:val="005D3796"/>
    <w:rsid w:val="005E3C23"/>
    <w:rsid w:val="005E3F0A"/>
    <w:rsid w:val="005E706C"/>
    <w:rsid w:val="005F1386"/>
    <w:rsid w:val="005F46EC"/>
    <w:rsid w:val="005F5A00"/>
    <w:rsid w:val="005F7B99"/>
    <w:rsid w:val="00601B00"/>
    <w:rsid w:val="00602F31"/>
    <w:rsid w:val="0060592F"/>
    <w:rsid w:val="00621BBB"/>
    <w:rsid w:val="00624380"/>
    <w:rsid w:val="00625FDE"/>
    <w:rsid w:val="00630F29"/>
    <w:rsid w:val="006408E3"/>
    <w:rsid w:val="00653EE0"/>
    <w:rsid w:val="00654CC6"/>
    <w:rsid w:val="00655633"/>
    <w:rsid w:val="0066205C"/>
    <w:rsid w:val="00676AB1"/>
    <w:rsid w:val="006807B8"/>
    <w:rsid w:val="006B0379"/>
    <w:rsid w:val="006B57D7"/>
    <w:rsid w:val="006C456B"/>
    <w:rsid w:val="006C5478"/>
    <w:rsid w:val="006C6D53"/>
    <w:rsid w:val="006D2F76"/>
    <w:rsid w:val="006D4372"/>
    <w:rsid w:val="006F3D4C"/>
    <w:rsid w:val="007005B3"/>
    <w:rsid w:val="00700655"/>
    <w:rsid w:val="00702312"/>
    <w:rsid w:val="0071018F"/>
    <w:rsid w:val="00714D45"/>
    <w:rsid w:val="007231D1"/>
    <w:rsid w:val="00725D73"/>
    <w:rsid w:val="007359B7"/>
    <w:rsid w:val="00742534"/>
    <w:rsid w:val="00744398"/>
    <w:rsid w:val="0074444C"/>
    <w:rsid w:val="00750A29"/>
    <w:rsid w:val="00750CD8"/>
    <w:rsid w:val="00765624"/>
    <w:rsid w:val="007661FD"/>
    <w:rsid w:val="00772DE6"/>
    <w:rsid w:val="007743FC"/>
    <w:rsid w:val="00774C5E"/>
    <w:rsid w:val="0079071C"/>
    <w:rsid w:val="007B1E07"/>
    <w:rsid w:val="007B2DE0"/>
    <w:rsid w:val="007B2EE4"/>
    <w:rsid w:val="007B47DD"/>
    <w:rsid w:val="007C0640"/>
    <w:rsid w:val="007C4EBD"/>
    <w:rsid w:val="007C5F6D"/>
    <w:rsid w:val="007C7436"/>
    <w:rsid w:val="007D4815"/>
    <w:rsid w:val="007D7C0D"/>
    <w:rsid w:val="007E10F7"/>
    <w:rsid w:val="007E143B"/>
    <w:rsid w:val="007E4DBA"/>
    <w:rsid w:val="007E4E5E"/>
    <w:rsid w:val="007E7DBF"/>
    <w:rsid w:val="007F32B0"/>
    <w:rsid w:val="00801CA1"/>
    <w:rsid w:val="00803767"/>
    <w:rsid w:val="0083427A"/>
    <w:rsid w:val="0085253D"/>
    <w:rsid w:val="00856D7E"/>
    <w:rsid w:val="00856D9B"/>
    <w:rsid w:val="00864A66"/>
    <w:rsid w:val="0086581D"/>
    <w:rsid w:val="008667EB"/>
    <w:rsid w:val="00874673"/>
    <w:rsid w:val="008768C5"/>
    <w:rsid w:val="00885136"/>
    <w:rsid w:val="008A3700"/>
    <w:rsid w:val="008A422B"/>
    <w:rsid w:val="008A5BD2"/>
    <w:rsid w:val="008C4FDD"/>
    <w:rsid w:val="008C5D00"/>
    <w:rsid w:val="008D6FD5"/>
    <w:rsid w:val="008E0D27"/>
    <w:rsid w:val="008E38FF"/>
    <w:rsid w:val="008E4377"/>
    <w:rsid w:val="0092408E"/>
    <w:rsid w:val="00925834"/>
    <w:rsid w:val="00931AF8"/>
    <w:rsid w:val="009515AA"/>
    <w:rsid w:val="009568BF"/>
    <w:rsid w:val="009615BD"/>
    <w:rsid w:val="009679DF"/>
    <w:rsid w:val="0097170E"/>
    <w:rsid w:val="0097758E"/>
    <w:rsid w:val="00984646"/>
    <w:rsid w:val="00986F7F"/>
    <w:rsid w:val="00990B07"/>
    <w:rsid w:val="00993DD0"/>
    <w:rsid w:val="009A2CC1"/>
    <w:rsid w:val="009A3023"/>
    <w:rsid w:val="009B468B"/>
    <w:rsid w:val="009E06C8"/>
    <w:rsid w:val="009E2C4B"/>
    <w:rsid w:val="009E5905"/>
    <w:rsid w:val="009F6466"/>
    <w:rsid w:val="00A001BB"/>
    <w:rsid w:val="00A057AA"/>
    <w:rsid w:val="00A2318E"/>
    <w:rsid w:val="00A31E73"/>
    <w:rsid w:val="00A35DBE"/>
    <w:rsid w:val="00A360E0"/>
    <w:rsid w:val="00A36FBB"/>
    <w:rsid w:val="00A42484"/>
    <w:rsid w:val="00A478C0"/>
    <w:rsid w:val="00A53C83"/>
    <w:rsid w:val="00A54CD1"/>
    <w:rsid w:val="00A56D41"/>
    <w:rsid w:val="00A63A44"/>
    <w:rsid w:val="00A646FF"/>
    <w:rsid w:val="00A652F2"/>
    <w:rsid w:val="00A71C88"/>
    <w:rsid w:val="00A84DF0"/>
    <w:rsid w:val="00A853DD"/>
    <w:rsid w:val="00A85ABB"/>
    <w:rsid w:val="00A91761"/>
    <w:rsid w:val="00A92924"/>
    <w:rsid w:val="00A977BF"/>
    <w:rsid w:val="00AA26C9"/>
    <w:rsid w:val="00AA3A66"/>
    <w:rsid w:val="00AA6B51"/>
    <w:rsid w:val="00AC085A"/>
    <w:rsid w:val="00AC0C46"/>
    <w:rsid w:val="00AC36CA"/>
    <w:rsid w:val="00AF092E"/>
    <w:rsid w:val="00AF3552"/>
    <w:rsid w:val="00B03C9F"/>
    <w:rsid w:val="00B0474B"/>
    <w:rsid w:val="00B04922"/>
    <w:rsid w:val="00B13FF7"/>
    <w:rsid w:val="00B15BCC"/>
    <w:rsid w:val="00B15FC8"/>
    <w:rsid w:val="00B32EC1"/>
    <w:rsid w:val="00B40A30"/>
    <w:rsid w:val="00B51458"/>
    <w:rsid w:val="00B522B7"/>
    <w:rsid w:val="00B81AA3"/>
    <w:rsid w:val="00B81AA9"/>
    <w:rsid w:val="00B82ED9"/>
    <w:rsid w:val="00B831A4"/>
    <w:rsid w:val="00B8611F"/>
    <w:rsid w:val="00B95EF5"/>
    <w:rsid w:val="00BA2827"/>
    <w:rsid w:val="00BA28DC"/>
    <w:rsid w:val="00BA3E60"/>
    <w:rsid w:val="00BC516E"/>
    <w:rsid w:val="00BD0CB7"/>
    <w:rsid w:val="00BD3EC9"/>
    <w:rsid w:val="00BD67EB"/>
    <w:rsid w:val="00BD6A7A"/>
    <w:rsid w:val="00BE533B"/>
    <w:rsid w:val="00BF0982"/>
    <w:rsid w:val="00C1022A"/>
    <w:rsid w:val="00C1029A"/>
    <w:rsid w:val="00C11C38"/>
    <w:rsid w:val="00C16877"/>
    <w:rsid w:val="00C2090B"/>
    <w:rsid w:val="00C2233D"/>
    <w:rsid w:val="00C2499E"/>
    <w:rsid w:val="00C42B0D"/>
    <w:rsid w:val="00C52139"/>
    <w:rsid w:val="00C6664C"/>
    <w:rsid w:val="00C7642E"/>
    <w:rsid w:val="00C83CE7"/>
    <w:rsid w:val="00C84933"/>
    <w:rsid w:val="00C910DE"/>
    <w:rsid w:val="00C9124A"/>
    <w:rsid w:val="00C92DE3"/>
    <w:rsid w:val="00C93163"/>
    <w:rsid w:val="00CC10B5"/>
    <w:rsid w:val="00CF0002"/>
    <w:rsid w:val="00CF7A95"/>
    <w:rsid w:val="00D0570C"/>
    <w:rsid w:val="00D143CC"/>
    <w:rsid w:val="00D31DC6"/>
    <w:rsid w:val="00D34D6E"/>
    <w:rsid w:val="00D36072"/>
    <w:rsid w:val="00D379D8"/>
    <w:rsid w:val="00D41607"/>
    <w:rsid w:val="00D604F1"/>
    <w:rsid w:val="00D75536"/>
    <w:rsid w:val="00D75970"/>
    <w:rsid w:val="00D859F5"/>
    <w:rsid w:val="00D85C81"/>
    <w:rsid w:val="00D8637B"/>
    <w:rsid w:val="00D935A0"/>
    <w:rsid w:val="00D97EE5"/>
    <w:rsid w:val="00DA6CA1"/>
    <w:rsid w:val="00DA7860"/>
    <w:rsid w:val="00DB4D7C"/>
    <w:rsid w:val="00DC236B"/>
    <w:rsid w:val="00DD072E"/>
    <w:rsid w:val="00DD1C72"/>
    <w:rsid w:val="00DD33B1"/>
    <w:rsid w:val="00DD5FD6"/>
    <w:rsid w:val="00DE1077"/>
    <w:rsid w:val="00DE747A"/>
    <w:rsid w:val="00DF14E4"/>
    <w:rsid w:val="00E0520E"/>
    <w:rsid w:val="00E22819"/>
    <w:rsid w:val="00E25E31"/>
    <w:rsid w:val="00E31020"/>
    <w:rsid w:val="00E350D6"/>
    <w:rsid w:val="00E46400"/>
    <w:rsid w:val="00E47A71"/>
    <w:rsid w:val="00E52091"/>
    <w:rsid w:val="00E53F75"/>
    <w:rsid w:val="00EA0423"/>
    <w:rsid w:val="00EA4224"/>
    <w:rsid w:val="00EB6739"/>
    <w:rsid w:val="00EC2BEA"/>
    <w:rsid w:val="00EC3083"/>
    <w:rsid w:val="00EC516A"/>
    <w:rsid w:val="00EC51D3"/>
    <w:rsid w:val="00EC5C2A"/>
    <w:rsid w:val="00ED2CF7"/>
    <w:rsid w:val="00ED3127"/>
    <w:rsid w:val="00EE0694"/>
    <w:rsid w:val="00EE16D1"/>
    <w:rsid w:val="00EF0CC3"/>
    <w:rsid w:val="00EF5EBF"/>
    <w:rsid w:val="00F131AA"/>
    <w:rsid w:val="00F13721"/>
    <w:rsid w:val="00F262A1"/>
    <w:rsid w:val="00F271A5"/>
    <w:rsid w:val="00F42A28"/>
    <w:rsid w:val="00F431C7"/>
    <w:rsid w:val="00F47F5E"/>
    <w:rsid w:val="00F56E20"/>
    <w:rsid w:val="00F645D5"/>
    <w:rsid w:val="00F709CB"/>
    <w:rsid w:val="00F7144B"/>
    <w:rsid w:val="00F73F36"/>
    <w:rsid w:val="00F75700"/>
    <w:rsid w:val="00F849D6"/>
    <w:rsid w:val="00FA42C4"/>
    <w:rsid w:val="00FB0E91"/>
    <w:rsid w:val="00FC6BBD"/>
    <w:rsid w:val="00FD12B0"/>
    <w:rsid w:val="00FD1962"/>
    <w:rsid w:val="00FD43A3"/>
    <w:rsid w:val="00FE4506"/>
    <w:rsid w:val="00FF523C"/>
    <w:rsid w:val="06EE4206"/>
    <w:rsid w:val="071C5217"/>
    <w:rsid w:val="0B927856"/>
    <w:rsid w:val="0C774C9E"/>
    <w:rsid w:val="19467ED2"/>
    <w:rsid w:val="251946ED"/>
    <w:rsid w:val="25FA451E"/>
    <w:rsid w:val="2A07545B"/>
    <w:rsid w:val="2C714E0E"/>
    <w:rsid w:val="2F3FF07B"/>
    <w:rsid w:val="2FCBF13E"/>
    <w:rsid w:val="2FEACE49"/>
    <w:rsid w:val="335B7157"/>
    <w:rsid w:val="33FE8C51"/>
    <w:rsid w:val="36963DEF"/>
    <w:rsid w:val="387D5266"/>
    <w:rsid w:val="3BFEB53B"/>
    <w:rsid w:val="3D3D6D72"/>
    <w:rsid w:val="3F5B5BD6"/>
    <w:rsid w:val="3F7F19D2"/>
    <w:rsid w:val="41061B71"/>
    <w:rsid w:val="41F540C0"/>
    <w:rsid w:val="433C7ACC"/>
    <w:rsid w:val="44D37FBC"/>
    <w:rsid w:val="48C447EC"/>
    <w:rsid w:val="4D6B16DA"/>
    <w:rsid w:val="4DF785B0"/>
    <w:rsid w:val="50AC6291"/>
    <w:rsid w:val="52BA4AFD"/>
    <w:rsid w:val="53269571"/>
    <w:rsid w:val="598F6626"/>
    <w:rsid w:val="59D40607"/>
    <w:rsid w:val="5AE57445"/>
    <w:rsid w:val="5B742095"/>
    <w:rsid w:val="5EC62C14"/>
    <w:rsid w:val="5F3ADB75"/>
    <w:rsid w:val="681349F0"/>
    <w:rsid w:val="682E182A"/>
    <w:rsid w:val="6D284A9A"/>
    <w:rsid w:val="6EF71964"/>
    <w:rsid w:val="6EFA4BEB"/>
    <w:rsid w:val="6EFFB4D5"/>
    <w:rsid w:val="6F3C2A67"/>
    <w:rsid w:val="71FD64F5"/>
    <w:rsid w:val="734EC498"/>
    <w:rsid w:val="73EFC1A5"/>
    <w:rsid w:val="73FE9154"/>
    <w:rsid w:val="79134850"/>
    <w:rsid w:val="79972B63"/>
    <w:rsid w:val="7A344A7E"/>
    <w:rsid w:val="7B9D8AF6"/>
    <w:rsid w:val="7BBBAB6F"/>
    <w:rsid w:val="7BFFF797"/>
    <w:rsid w:val="7EB5C864"/>
    <w:rsid w:val="7EED982A"/>
    <w:rsid w:val="7EF7A942"/>
    <w:rsid w:val="7F3FA5A6"/>
    <w:rsid w:val="7FF5424A"/>
    <w:rsid w:val="7FFB1C0F"/>
    <w:rsid w:val="7FFF0B00"/>
    <w:rsid w:val="8ABF2AD7"/>
    <w:rsid w:val="8AEE7F68"/>
    <w:rsid w:val="97AEC2E6"/>
    <w:rsid w:val="AF1383E6"/>
    <w:rsid w:val="BD771584"/>
    <w:rsid w:val="BE3FA04F"/>
    <w:rsid w:val="BFB93A60"/>
    <w:rsid w:val="BFEF2BF4"/>
    <w:rsid w:val="BFF304A8"/>
    <w:rsid w:val="BFFD6F4B"/>
    <w:rsid w:val="C8FF8583"/>
    <w:rsid w:val="CFDB1FB0"/>
    <w:rsid w:val="D6BF89F7"/>
    <w:rsid w:val="D7FB2F8D"/>
    <w:rsid w:val="DAADA575"/>
    <w:rsid w:val="DE8737F4"/>
    <w:rsid w:val="DF9FFB46"/>
    <w:rsid w:val="EBD757FE"/>
    <w:rsid w:val="EFFFA96B"/>
    <w:rsid w:val="F4EE0AD2"/>
    <w:rsid w:val="F5FE2379"/>
    <w:rsid w:val="F77E6AE1"/>
    <w:rsid w:val="F7D743E3"/>
    <w:rsid w:val="F7EC1FC1"/>
    <w:rsid w:val="F7F4A03B"/>
    <w:rsid w:val="F9BD72AD"/>
    <w:rsid w:val="FDD707DF"/>
    <w:rsid w:val="FDF54D6F"/>
    <w:rsid w:val="FE6FCAFD"/>
    <w:rsid w:val="FE733510"/>
    <w:rsid w:val="FF7B1249"/>
    <w:rsid w:val="FF7E7626"/>
    <w:rsid w:val="FFFFBA15"/>
    <w:rsid w:val="FFFFD2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HAnsi" w:hAnsiTheme="minorHAnsi" w:cstheme="minorBidi"/>
      <w:kern w:val="2"/>
      <w:sz w:val="21"/>
      <w:szCs w:val="22"/>
      <w:lang w:val="en-US" w:eastAsia="zh-CN" w:bidi="ar-SA"/>
    </w:rPr>
  </w:style>
  <w:style w:type="character" w:default="1" w:styleId="10">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spacing w:line="240" w:lineRule="auto"/>
      <w:jc w:val="left"/>
    </w:pPr>
    <w:rPr>
      <w:rFonts w:ascii="Calibri" w:hAnsi="Calibri" w:eastAsia="宋体" w:cs="Times New Roman"/>
    </w:rPr>
  </w:style>
  <w:style w:type="paragraph" w:styleId="3">
    <w:name w:val="Balloon Text"/>
    <w:basedOn w:val="1"/>
    <w:link w:val="15"/>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unhideWhenUsed/>
    <w:qFormat/>
    <w:uiPriority w:val="99"/>
    <w:pPr>
      <w:spacing w:line="360" w:lineRule="auto"/>
    </w:pPr>
    <w:rPr>
      <w:rFonts w:eastAsia="微软雅黑" w:asciiTheme="minorHAnsi" w:hAnsiTheme="minorHAnsi" w:cstheme="minorBidi"/>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9">
    <w:name w:val="Medium Shading 1 Accent 1"/>
    <w:basedOn w:val="7"/>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cPr>
      <w:shd w:val="clear" w:color="auto" w:fill="F1F1F1" w:themeFill="background1" w:themeFillShade="F2"/>
    </w:tc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11">
    <w:name w:val="annotation reference"/>
    <w:basedOn w:val="10"/>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paragraph" w:customStyle="1" w:styleId="14">
    <w:name w:val="样式 Arial 行距: 多倍行距 1.2 字行 首行缩进:  2 字符"/>
    <w:basedOn w:val="1"/>
    <w:qFormat/>
    <w:uiPriority w:val="0"/>
    <w:pPr>
      <w:spacing w:line="288" w:lineRule="auto"/>
      <w:ind w:firstLine="420" w:firstLineChars="200"/>
    </w:pPr>
    <w:rPr>
      <w:rFonts w:ascii="Arial" w:hAnsi="Arial" w:eastAsia="宋体" w:cs="宋体"/>
      <w:sz w:val="20"/>
      <w:szCs w:val="20"/>
    </w:rPr>
  </w:style>
  <w:style w:type="character" w:customStyle="1" w:styleId="15">
    <w:name w:val="批注框文本 字符"/>
    <w:basedOn w:val="10"/>
    <w:link w:val="3"/>
    <w:semiHidden/>
    <w:qFormat/>
    <w:uiPriority w:val="99"/>
    <w:rPr>
      <w:sz w:val="18"/>
      <w:szCs w:val="18"/>
    </w:rPr>
  </w:style>
  <w:style w:type="character" w:customStyle="1" w:styleId="16">
    <w:name w:val="批注文字 字符"/>
    <w:basedOn w:val="10"/>
    <w:link w:val="2"/>
    <w:semiHidden/>
    <w:qFormat/>
    <w:uiPriority w:val="99"/>
    <w:rPr>
      <w:rFonts w:ascii="Calibri" w:hAnsi="Calibri" w:eastAsia="宋体" w:cs="Times New Roman"/>
    </w:rPr>
  </w:style>
  <w:style w:type="character" w:customStyle="1" w:styleId="17">
    <w:name w:val="批注主题 字符"/>
    <w:basedOn w:val="16"/>
    <w:link w:val="6"/>
    <w:semiHidden/>
    <w:qFormat/>
    <w:uiPriority w:val="99"/>
    <w:rPr>
      <w:rFonts w:ascii="Calibri" w:hAnsi="Calibri" w:eastAsia="微软雅黑" w:cs="Times New Roman"/>
      <w:b/>
      <w:bCs/>
    </w:rPr>
  </w:style>
  <w:style w:type="paragraph" w:customStyle="1" w:styleId="18">
    <w:name w:val="Table Paragraph"/>
    <w:basedOn w:val="1"/>
    <w:qFormat/>
    <w:uiPriority w:val="1"/>
    <w:pPr>
      <w:autoSpaceDE w:val="0"/>
      <w:autoSpaceDN w:val="0"/>
      <w:spacing w:line="240" w:lineRule="auto"/>
      <w:jc w:val="left"/>
    </w:pPr>
    <w:rPr>
      <w:rFonts w:ascii="Noto Sans Mono CJK JP Regular" w:hAnsi="Noto Sans Mono CJK JP Regular" w:eastAsia="Noto Sans Mono CJK JP Regular" w:cs="Noto Sans Mono CJK JP Regular"/>
      <w:kern w:val="0"/>
      <w:sz w:val="22"/>
      <w:lang w:eastAsia="en-US"/>
    </w:rPr>
  </w:style>
  <w:style w:type="table" w:customStyle="1" w:styleId="19">
    <w:name w:val="网格表 4 - 着色 11"/>
    <w:basedOn w:val="7"/>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paragraph" w:customStyle="1" w:styleId="20">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2189</Words>
  <Characters>2495</Characters>
  <Lines>25</Lines>
  <Paragraphs>7</Paragraphs>
  <TotalTime>2</TotalTime>
  <ScaleCrop>false</ScaleCrop>
  <LinksUpToDate>false</LinksUpToDate>
  <CharactersWithSpaces>2505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2021-06-29T17:21:00Z</dcterms:created>
  <dc:creator>王帆</dc:creator>
  <cp:lastModifiedBy>贾艳娇</cp:lastModifiedBy>
  <cp:lastPrinted>2019-05-18T22:55:00Z</cp:lastPrinted>
  <dcterms:modified xsi:type="dcterms:W3CDTF">2025-07-10T10:48:49Z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F93358EEC414462E81F26D3EBFAF67D9_13</vt:lpwstr>
  </property>
  <property fmtid="{D5CDD505-2E9C-101B-9397-08002B2CF9AE}" pid="4" name="KSOTemplateDocerSaveRecord">
    <vt:lpwstr>eyJoZGlkIjoiYjJlN2NkMjIwZjQ0YzRlNDYwNDEwYTdmMTJmOTRjZWEiLCJ1c2VySWQiOiIzMTEwMjE0OTYifQ==</vt:lpwstr>
  </property>
</Properties>
</file>